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4616" w14:textId="39A5456C" w:rsidR="00184CDA" w:rsidRPr="0021461A" w:rsidRDefault="00310E8A" w:rsidP="0021461A">
      <w:pPr>
        <w:rPr>
          <w:rFonts w:asciiTheme="majorHAnsi" w:hAnsiTheme="majorHAnsi" w:cstheme="majorHAnsi"/>
          <w:b/>
          <w:bCs/>
          <w:color w:val="004992" w:themeColor="accent1"/>
          <w:sz w:val="28"/>
          <w:szCs w:val="28"/>
          <w:lang w:val="en-US"/>
        </w:rPr>
      </w:pPr>
      <w:r>
        <w:pict w14:anchorId="2976580E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184CDA" w:rsidRPr="0021461A">
        <w:rPr>
          <w:rFonts w:asciiTheme="majorHAnsi" w:hAnsiTheme="majorHAnsi" w:cstheme="majorHAnsi"/>
          <w:b/>
          <w:bCs/>
          <w:color w:val="004992" w:themeColor="accent1"/>
          <w:sz w:val="28"/>
          <w:szCs w:val="28"/>
          <w:lang w:val="en-US"/>
        </w:rPr>
        <w:t xml:space="preserve">Application guidelines: </w:t>
      </w:r>
      <w:r w:rsidR="007F2AE8" w:rsidRPr="0021461A">
        <w:rPr>
          <w:rFonts w:asciiTheme="majorHAnsi" w:hAnsiTheme="majorHAnsi" w:cstheme="majorHAnsi"/>
          <w:b/>
          <w:bCs/>
          <w:color w:val="004992" w:themeColor="accent1"/>
          <w:sz w:val="28"/>
          <w:szCs w:val="28"/>
          <w:lang w:val="en-US"/>
        </w:rPr>
        <w:t>Research time for female clinicians</w:t>
      </w:r>
      <w:r w:rsidR="0021461A" w:rsidRPr="0021461A">
        <w:rPr>
          <w:rFonts w:asciiTheme="majorHAnsi" w:hAnsiTheme="majorHAnsi" w:cstheme="majorHAnsi"/>
          <w:b/>
          <w:bCs/>
          <w:color w:val="004992" w:themeColor="accent1"/>
          <w:sz w:val="28"/>
          <w:szCs w:val="28"/>
          <w:lang w:val="en-US"/>
        </w:rPr>
        <w:t xml:space="preserve">+ </w:t>
      </w:r>
      <w:r w:rsidR="0021461A" w:rsidRPr="0021461A">
        <w:rPr>
          <w:rFonts w:asciiTheme="majorHAnsi" w:hAnsiTheme="majorHAnsi" w:cstheme="majorHAnsi"/>
          <w:b/>
          <w:bCs/>
          <w:i/>
          <w:color w:val="004992" w:themeColor="accent1"/>
          <w:sz w:val="28"/>
          <w:szCs w:val="28"/>
          <w:lang w:val="en-US"/>
        </w:rPr>
        <w:t>Divers</w:t>
      </w:r>
      <w:r w:rsidR="007F2AE8" w:rsidRPr="0021461A">
        <w:rPr>
          <w:rFonts w:asciiTheme="majorHAnsi" w:hAnsiTheme="majorHAnsi" w:cstheme="majorHAnsi"/>
          <w:b/>
          <w:bCs/>
          <w:i/>
          <w:color w:val="004992" w:themeColor="accent1"/>
          <w:sz w:val="28"/>
          <w:szCs w:val="28"/>
          <w:lang w:val="en-US"/>
        </w:rPr>
        <w:t xml:space="preserve"> </w:t>
      </w:r>
      <w:r w:rsidR="00A55EE3" w:rsidRPr="0021461A">
        <w:rPr>
          <w:rFonts w:asciiTheme="majorHAnsi" w:hAnsiTheme="majorHAnsi" w:cstheme="majorHAnsi"/>
          <w:b/>
          <w:bCs/>
          <w:color w:val="004992" w:themeColor="accent1"/>
          <w:sz w:val="28"/>
          <w:szCs w:val="28"/>
          <w:lang w:val="en-US"/>
        </w:rPr>
        <w:t>2025</w:t>
      </w:r>
    </w:p>
    <w:p w14:paraId="383A8C57" w14:textId="77777777" w:rsidR="0040326F" w:rsidRPr="0021461A" w:rsidRDefault="007F2AE8" w:rsidP="00DE5C7E">
      <w:pPr>
        <w:pStyle w:val="Betreff"/>
        <w:jc w:val="both"/>
        <w:rPr>
          <w:rFonts w:cstheme="majorHAnsi"/>
          <w:bCs/>
          <w:color w:val="auto"/>
          <w:sz w:val="24"/>
          <w:szCs w:val="24"/>
          <w:lang w:val="en-US"/>
        </w:rPr>
      </w:pPr>
      <w:r w:rsidRPr="0021461A">
        <w:rPr>
          <w:rFonts w:cstheme="majorHAnsi"/>
          <w:bCs/>
          <w:sz w:val="24"/>
          <w:szCs w:val="24"/>
          <w:lang w:val="en-US"/>
        </w:rPr>
        <w:t xml:space="preserve">Increasing research performance through additional research time for </w:t>
      </w:r>
      <w:r w:rsidRPr="0021461A">
        <w:rPr>
          <w:rFonts w:cstheme="majorHAnsi"/>
          <w:bCs/>
          <w:color w:val="auto"/>
          <w:sz w:val="24"/>
          <w:szCs w:val="24"/>
          <w:lang w:val="en-US"/>
        </w:rPr>
        <w:t xml:space="preserve">clinicians </w:t>
      </w:r>
      <w:r w:rsidR="00F7579A" w:rsidRPr="0021461A">
        <w:rPr>
          <w:rFonts w:cstheme="majorHAnsi"/>
          <w:bCs/>
          <w:color w:val="auto"/>
          <w:sz w:val="24"/>
          <w:szCs w:val="24"/>
          <w:lang w:val="en-US"/>
        </w:rPr>
        <w:t xml:space="preserve">with special burdens </w:t>
      </w:r>
    </w:p>
    <w:p w14:paraId="3926B0FC" w14:textId="2D96DCB6" w:rsidR="0040326F" w:rsidRPr="0021461A" w:rsidRDefault="007F2AE8" w:rsidP="00DE5C7E">
      <w:pPr>
        <w:pStyle w:val="Default"/>
        <w:jc w:val="both"/>
        <w:rPr>
          <w:rFonts w:asciiTheme="majorHAnsi" w:hAnsiTheme="majorHAnsi" w:cstheme="majorHAnsi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>Clinical education and training, research, teaching and family responsibilities are difficult for clinicians at the Faculty of Medicine to reconcile during the</w:t>
      </w:r>
      <w:r w:rsidR="00060E19">
        <w:rPr>
          <w:rFonts w:asciiTheme="majorHAnsi" w:hAnsiTheme="majorHAnsi" w:cstheme="majorHAnsi"/>
          <w:sz w:val="22"/>
          <w:szCs w:val="22"/>
          <w:lang w:val="en-US"/>
        </w:rPr>
        <w:t xml:space="preserve"> "rush hour of life". T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o make combining this with a scientific career more attractive and feasible, the </w:t>
      </w:r>
      <w:r w:rsidR="0021461A" w:rsidRPr="0021461A">
        <w:rPr>
          <w:rFonts w:asciiTheme="majorHAnsi" w:hAnsiTheme="majorHAnsi" w:cstheme="majorHAnsi"/>
          <w:sz w:val="22"/>
          <w:szCs w:val="22"/>
          <w:lang w:val="en-US"/>
        </w:rPr>
        <w:t>faculty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has installed the funding instrument "Additional research time for fe</w:t>
      </w:r>
      <w:r w:rsidR="00060E19">
        <w:rPr>
          <w:rFonts w:asciiTheme="majorHAnsi" w:hAnsiTheme="majorHAnsi" w:cstheme="majorHAnsi"/>
          <w:sz w:val="22"/>
          <w:szCs w:val="22"/>
          <w:lang w:val="en-US"/>
        </w:rPr>
        <w:t>male clinicians". In collaboration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with the respective clinic management, young </w:t>
      </w:r>
      <w:r w:rsidR="00F7579A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scientists are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>given time off from clinical duties to carry out research</w:t>
      </w:r>
      <w:r w:rsidR="00060E19">
        <w:rPr>
          <w:rFonts w:asciiTheme="majorHAnsi" w:hAnsiTheme="majorHAnsi" w:cstheme="majorHAnsi"/>
          <w:sz w:val="22"/>
          <w:szCs w:val="22"/>
          <w:lang w:val="en-US"/>
        </w:rPr>
        <w:t>, with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81509" w:rsidRPr="0021461A">
        <w:rPr>
          <w:rFonts w:asciiTheme="majorHAnsi" w:hAnsiTheme="majorHAnsi" w:cstheme="majorHAnsi"/>
          <w:sz w:val="22"/>
          <w:szCs w:val="22"/>
          <w:lang w:val="en-US"/>
        </w:rPr>
        <w:t>th</w:t>
      </w:r>
      <w:r w:rsidR="00060E19">
        <w:rPr>
          <w:rFonts w:asciiTheme="majorHAnsi" w:hAnsiTheme="majorHAnsi" w:cstheme="majorHAnsi"/>
          <w:sz w:val="22"/>
          <w:szCs w:val="22"/>
          <w:lang w:val="en-US"/>
        </w:rPr>
        <w:t>e Dean's Office financing</w:t>
      </w:r>
      <w:r w:rsidR="00181509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50% of their position for the funding period. </w:t>
      </w:r>
    </w:p>
    <w:p w14:paraId="1C60830C" w14:textId="77777777" w:rsidR="007F2AE8" w:rsidRPr="0021461A" w:rsidRDefault="007F2AE8" w:rsidP="00DE5C7E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D90327C" w14:textId="77777777" w:rsidR="002C005D" w:rsidRPr="0021461A" w:rsidRDefault="00026095" w:rsidP="00DE5C7E">
      <w:pPr>
        <w:jc w:val="both"/>
        <w:rPr>
          <w:rFonts w:asciiTheme="majorHAnsi" w:hAnsiTheme="majorHAnsi" w:cstheme="majorHAnsi"/>
          <w:b/>
          <w:szCs w:val="22"/>
          <w:lang w:val="en-US"/>
        </w:rPr>
      </w:pPr>
      <w:r w:rsidRPr="0021461A">
        <w:rPr>
          <w:rFonts w:asciiTheme="majorHAnsi" w:hAnsiTheme="majorHAnsi" w:cstheme="majorHAnsi"/>
          <w:b/>
          <w:szCs w:val="22"/>
          <w:lang w:val="en-US"/>
        </w:rPr>
        <w:t xml:space="preserve">Mode </w:t>
      </w:r>
      <w:r w:rsidR="002C005D" w:rsidRPr="0021461A">
        <w:rPr>
          <w:rFonts w:asciiTheme="majorHAnsi" w:hAnsiTheme="majorHAnsi" w:cstheme="majorHAnsi"/>
          <w:b/>
          <w:szCs w:val="22"/>
          <w:lang w:val="en-US"/>
        </w:rPr>
        <w:t>of exemption</w:t>
      </w:r>
    </w:p>
    <w:p w14:paraId="5FED91B1" w14:textId="79733AD5" w:rsidR="009F6B9B" w:rsidRPr="0021461A" w:rsidRDefault="00026095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>A flexible research period of up to 6 months can be applied for. Funded researchers can take their leave of absence flexibly, in consultation with the clinic management, within a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>n 18-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>months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 xml:space="preserve"> period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>. Different leave models can be agreed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 xml:space="preserve"> upon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. Preference should be given to block models in which the leave is taken for several months at a time. However, regular days off, which </w:t>
      </w:r>
      <w:r w:rsidR="003B3C3A" w:rsidRPr="0021461A">
        <w:rPr>
          <w:rFonts w:asciiTheme="majorHAnsi" w:hAnsiTheme="majorHAnsi" w:cstheme="majorHAnsi"/>
          <w:sz w:val="22"/>
          <w:szCs w:val="22"/>
          <w:lang w:val="en-US"/>
        </w:rPr>
        <w:t>are granted on a weekly basis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, are also possible. </w:t>
      </w:r>
      <w:r w:rsidR="003B3C3A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In this case, a total of 125 working days (equivalent to 6 months) can be calculated </w:t>
      </w:r>
      <w:r w:rsidR="0093298E" w:rsidRPr="0021461A">
        <w:rPr>
          <w:rFonts w:asciiTheme="majorHAnsi" w:hAnsiTheme="majorHAnsi" w:cstheme="majorHAnsi"/>
          <w:sz w:val="22"/>
          <w:szCs w:val="22"/>
          <w:lang w:val="en-US"/>
        </w:rPr>
        <w:t>over 18 months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. As a </w:t>
      </w:r>
      <w:r w:rsidR="00126E41" w:rsidRPr="0021461A">
        <w:rPr>
          <w:rFonts w:asciiTheme="majorHAnsi" w:hAnsiTheme="majorHAnsi" w:cstheme="majorHAnsi"/>
          <w:sz w:val="22"/>
          <w:szCs w:val="22"/>
          <w:lang w:val="en-US"/>
        </w:rPr>
        <w:t>rule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>, fe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>male clinicians must be relieved of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teaching, patient care and administrative tasks during the funding period in order to pursue their research. </w:t>
      </w:r>
      <w:r w:rsidR="009F6B9B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Please note that half of the funding for the sponsored person relates exclusively to the days/weeks/months in which they are fully released for research. </w:t>
      </w:r>
    </w:p>
    <w:p w14:paraId="37FB1A8E" w14:textId="77777777" w:rsidR="002C005D" w:rsidRPr="0021461A" w:rsidRDefault="002C005D">
      <w:pPr>
        <w:pStyle w:val="Default"/>
        <w:jc w:val="both"/>
        <w:rPr>
          <w:rFonts w:asciiTheme="majorHAnsi" w:hAnsiTheme="majorHAnsi" w:cstheme="majorHAnsi"/>
          <w:b/>
          <w:iCs/>
          <w:sz w:val="22"/>
          <w:szCs w:val="22"/>
          <w:lang w:val="en-US"/>
        </w:rPr>
      </w:pPr>
    </w:p>
    <w:p w14:paraId="3736789A" w14:textId="77777777" w:rsidR="00567DBC" w:rsidRPr="0021461A" w:rsidRDefault="007F2AE8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b/>
          <w:iCs/>
          <w:sz w:val="22"/>
          <w:szCs w:val="22"/>
          <w:lang w:val="en-US"/>
        </w:rPr>
        <w:t>Target group</w:t>
      </w:r>
    </w:p>
    <w:p w14:paraId="3FBD7C92" w14:textId="77777777" w:rsidR="003B3C3A" w:rsidRPr="0021461A" w:rsidRDefault="003B3C3A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6360B199" w14:textId="797C96CB" w:rsidR="0024333C" w:rsidRPr="0021461A" w:rsidRDefault="007F2AE8" w:rsidP="00636422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Habilitation candidates and postdoctoral researchers </w:t>
      </w:r>
      <w:r w:rsidR="002C005D" w:rsidRPr="0021461A">
        <w:rPr>
          <w:rFonts w:asciiTheme="majorHAnsi" w:hAnsiTheme="majorHAnsi" w:cstheme="majorHAnsi"/>
          <w:sz w:val="22"/>
          <w:szCs w:val="22"/>
          <w:lang w:val="en-US"/>
        </w:rPr>
        <w:t>who are aiming for a habilitation in a clinical subject</w:t>
      </w:r>
      <w:r w:rsidR="00DB6354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>Fro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>m a diversity perspective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>individuals</w:t>
      </w:r>
      <w:r w:rsidR="007C2DDF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who live with a long-term physical or mental impairment </w:t>
      </w:r>
      <w:r w:rsidR="00181509" w:rsidRPr="0021461A">
        <w:rPr>
          <w:rFonts w:asciiTheme="majorHAnsi" w:hAnsiTheme="majorHAnsi" w:cstheme="majorHAnsi"/>
          <w:szCs w:val="22"/>
          <w:lang w:val="en-US"/>
        </w:rPr>
        <w:t xml:space="preserve">and/or </w:t>
      </w:r>
      <w:r w:rsidR="00181509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are responsible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for childcare or caring for relatives </w:t>
      </w:r>
      <w:r w:rsidR="007C2DDF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will </w:t>
      </w:r>
      <w:r w:rsidR="0037480D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also be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considered for funding. </w:t>
      </w:r>
      <w:r w:rsidR="0098074D" w:rsidRPr="0021461A">
        <w:rPr>
          <w:rFonts w:asciiTheme="majorHAnsi" w:hAnsiTheme="majorHAnsi" w:cstheme="majorHAnsi"/>
          <w:sz w:val="22"/>
          <w:szCs w:val="22"/>
          <w:lang w:val="en-US"/>
        </w:rPr>
        <w:t>Please note that only young female scientists who belong to the core area of the UKE can be funded. Un</w:t>
      </w:r>
      <w:r w:rsidR="001F0CAE">
        <w:rPr>
          <w:rFonts w:asciiTheme="majorHAnsi" w:hAnsiTheme="majorHAnsi" w:cstheme="majorHAnsi"/>
          <w:sz w:val="22"/>
          <w:szCs w:val="22"/>
          <w:lang w:val="en-US"/>
        </w:rPr>
        <w:t>fortunately, clinics that primarily focus on patient care and lack</w:t>
      </w:r>
      <w:r w:rsidR="0098074D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scientific focus (e.g. MVZ, Martiniklinik) cannot be considered.</w:t>
      </w:r>
    </w:p>
    <w:p w14:paraId="0F8A1C24" w14:textId="77777777" w:rsidR="007F2AE8" w:rsidRPr="0021461A" w:rsidRDefault="007F2AE8" w:rsidP="00E638D0">
      <w:pPr>
        <w:pStyle w:val="Listenabsatz"/>
        <w:spacing w:after="0"/>
        <w:ind w:left="360"/>
        <w:jc w:val="both"/>
        <w:rPr>
          <w:rFonts w:asciiTheme="majorHAnsi" w:hAnsiTheme="majorHAnsi" w:cstheme="majorHAnsi"/>
          <w:szCs w:val="22"/>
          <w:lang w:val="en-US"/>
        </w:rPr>
      </w:pPr>
    </w:p>
    <w:p w14:paraId="40665796" w14:textId="77777777" w:rsidR="00181509" w:rsidRPr="0021461A" w:rsidRDefault="003B3C3A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Criteria for the </w:t>
      </w:r>
      <w:r w:rsidR="00B81A9A" w:rsidRPr="0021461A">
        <w:rPr>
          <w:rFonts w:asciiTheme="majorHAnsi" w:hAnsiTheme="majorHAnsi" w:cstheme="majorHAnsi"/>
          <w:b/>
          <w:bCs/>
          <w:sz w:val="22"/>
          <w:szCs w:val="22"/>
          <w:lang w:val="en-US"/>
        </w:rPr>
        <w:t>application</w:t>
      </w:r>
    </w:p>
    <w:p w14:paraId="313AEC69" w14:textId="77777777" w:rsidR="007F2AE8" w:rsidRPr="0021461A" w:rsidRDefault="007F2AE8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C8C4698" w14:textId="5532B292" w:rsidR="007F2AE8" w:rsidRPr="0021461A" w:rsidRDefault="0040326F">
      <w:pPr>
        <w:pStyle w:val="Default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310E8A">
        <w:rPr>
          <w:rFonts w:asciiTheme="majorHAnsi" w:hAnsiTheme="majorHAnsi" w:cstheme="majorHAnsi"/>
          <w:sz w:val="22"/>
          <w:szCs w:val="22"/>
          <w:lang w:val="en-US"/>
        </w:rPr>
        <w:t>clinician must</w:t>
      </w:r>
      <w:r w:rsidR="007F2AE8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>have already embarked on the path to habilitation</w:t>
      </w:r>
      <w:r w:rsidR="007F2AE8" w:rsidRPr="0021461A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6C7D15E0" w14:textId="77777777" w:rsidR="0040326F" w:rsidRPr="0021461A" w:rsidRDefault="007C2DDF">
      <w:pPr>
        <w:pStyle w:val="Default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The person </w:t>
      </w:r>
      <w:r w:rsidR="007F2AE8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to be funded may not hold a </w:t>
      </w:r>
      <w:r w:rsidR="002C005D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pure </w:t>
      </w:r>
      <w:r w:rsidR="007F2AE8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research position </w:t>
      </w:r>
      <w:r w:rsidR="00B81A9A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or a </w:t>
      </w:r>
      <w:r w:rsidR="007F2AE8" w:rsidRPr="0021461A">
        <w:rPr>
          <w:rFonts w:asciiTheme="majorHAnsi" w:hAnsiTheme="majorHAnsi" w:cstheme="majorHAnsi"/>
          <w:sz w:val="22"/>
          <w:szCs w:val="22"/>
          <w:lang w:val="en-US"/>
        </w:rPr>
        <w:t>(</w:t>
      </w:r>
      <w:r w:rsidR="00234D68" w:rsidRPr="0021461A">
        <w:rPr>
          <w:rFonts w:asciiTheme="majorHAnsi" w:hAnsiTheme="majorHAnsi" w:cstheme="majorHAnsi"/>
          <w:sz w:val="22"/>
          <w:szCs w:val="22"/>
          <w:lang w:val="en-US"/>
        </w:rPr>
        <w:t>compensatory</w:t>
      </w:r>
      <w:r w:rsidR="007F2AE8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) bonus position financed by the Faculty of Medicine's research promotion fund. </w:t>
      </w:r>
    </w:p>
    <w:p w14:paraId="15BD185B" w14:textId="77777777" w:rsidR="0040326F" w:rsidRPr="0021461A" w:rsidRDefault="0040326F" w:rsidP="00E638D0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125C16C8" w14:textId="77777777" w:rsidR="0040326F" w:rsidRPr="0021461A" w:rsidRDefault="007F2AE8" w:rsidP="00E638D0">
      <w:pPr>
        <w:jc w:val="both"/>
        <w:rPr>
          <w:rFonts w:asciiTheme="majorHAnsi" w:hAnsiTheme="majorHAnsi" w:cstheme="majorHAnsi"/>
          <w:b/>
          <w:szCs w:val="22"/>
          <w:lang w:val="en-US"/>
        </w:rPr>
      </w:pPr>
      <w:r w:rsidRPr="0021461A">
        <w:rPr>
          <w:rFonts w:asciiTheme="majorHAnsi" w:hAnsiTheme="majorHAnsi" w:cstheme="majorHAnsi"/>
          <w:b/>
          <w:szCs w:val="22"/>
          <w:lang w:val="en-US"/>
        </w:rPr>
        <w:t xml:space="preserve">Application procedure </w:t>
      </w:r>
    </w:p>
    <w:p w14:paraId="71E2A136" w14:textId="05732537" w:rsidR="007F2AE8" w:rsidRPr="0021461A" w:rsidRDefault="007F2AE8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21461A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application </w:t>
      </w:r>
      <w:r w:rsidR="00310E8A">
        <w:rPr>
          <w:rFonts w:asciiTheme="majorHAnsi" w:hAnsiTheme="majorHAnsi" w:cstheme="majorHAnsi"/>
          <w:bCs/>
          <w:sz w:val="22"/>
          <w:szCs w:val="22"/>
          <w:lang w:val="en-US"/>
        </w:rPr>
        <w:t>must be</w:t>
      </w:r>
      <w:r w:rsidR="0040326F" w:rsidRPr="0021461A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40326F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submitted by the clinic management and must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contain the following information and documents: </w:t>
      </w:r>
    </w:p>
    <w:p w14:paraId="1E4F9B6A" w14:textId="77777777" w:rsidR="0040326F" w:rsidRPr="0021461A" w:rsidRDefault="0040326F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6F0A02A7" w14:textId="77777777" w:rsidR="007F2AE8" w:rsidRPr="0021461A" w:rsidRDefault="007F2AE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A presentation and classification of the scientific potential of the </w:t>
      </w:r>
      <w:r w:rsidR="00F7579A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clinicians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proposed for funding </w:t>
      </w:r>
      <w:r w:rsidR="00234D68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by the </w:t>
      </w:r>
      <w:r w:rsidR="00B81A9A" w:rsidRPr="0021461A">
        <w:rPr>
          <w:rFonts w:asciiTheme="majorHAnsi" w:hAnsiTheme="majorHAnsi" w:cstheme="majorHAnsi"/>
          <w:sz w:val="22"/>
          <w:szCs w:val="22"/>
          <w:lang w:val="en-US"/>
        </w:rPr>
        <w:t>applicant clinic management</w:t>
      </w:r>
      <w:r w:rsidR="00F7579A" w:rsidRPr="0021461A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6E14B601" w14:textId="77777777" w:rsidR="007F2AE8" w:rsidRPr="0021461A" w:rsidRDefault="007F2AE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Justification of the application and </w:t>
      </w:r>
      <w:r w:rsidR="0040326F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presentation of the planned </w:t>
      </w:r>
      <w:r w:rsidR="00A274CC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scope and mode of research time </w:t>
      </w:r>
      <w:r w:rsidR="0040326F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(including start and end date, block model or daily model, allocation) 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by </w:t>
      </w:r>
      <w:r w:rsidRPr="0021461A">
        <w:rPr>
          <w:rFonts w:asciiTheme="majorHAnsi" w:hAnsiTheme="majorHAnsi" w:cstheme="majorHAnsi"/>
          <w:bCs/>
          <w:sz w:val="22"/>
          <w:szCs w:val="22"/>
          <w:lang w:val="en-US"/>
        </w:rPr>
        <w:t>the clinic management</w:t>
      </w:r>
      <w:r w:rsidR="0040326F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2B972F70" w14:textId="77777777" w:rsidR="007F2AE8" w:rsidRPr="0021461A" w:rsidRDefault="007F2AE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21461A">
        <w:rPr>
          <w:rFonts w:asciiTheme="majorHAnsi" w:hAnsiTheme="majorHAnsi" w:cstheme="majorHAnsi"/>
          <w:sz w:val="22"/>
          <w:szCs w:val="22"/>
          <w:lang w:val="en-US"/>
        </w:rPr>
        <w:lastRenderedPageBreak/>
        <w:t xml:space="preserve">Comprehensible explanation of how the working group/clinic will ensure that the sponsored </w:t>
      </w:r>
      <w:r w:rsidR="00B81A9A" w:rsidRPr="0021461A">
        <w:rPr>
          <w:rFonts w:asciiTheme="majorHAnsi" w:hAnsiTheme="majorHAnsi" w:cstheme="majorHAnsi"/>
          <w:sz w:val="22"/>
          <w:szCs w:val="22"/>
          <w:lang w:val="en-US"/>
        </w:rPr>
        <w:t>person</w:t>
      </w:r>
      <w:r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 is released from work. </w:t>
      </w:r>
      <w:r w:rsidR="008016A7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If a complete absence of the sponsored person is not feasible within the framework of the clinic organization, </w:t>
      </w:r>
      <w:r w:rsidR="00E843A2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one weekend shift or one night shift </w:t>
      </w:r>
      <w:r w:rsidR="00126E41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per month </w:t>
      </w:r>
      <w:r w:rsidR="008016A7" w:rsidRPr="0021461A">
        <w:rPr>
          <w:rFonts w:asciiTheme="majorHAnsi" w:hAnsiTheme="majorHAnsi" w:cstheme="majorHAnsi"/>
          <w:sz w:val="22"/>
          <w:szCs w:val="22"/>
          <w:lang w:val="en-US"/>
        </w:rPr>
        <w:t>is permitted as part of the leave of absence</w:t>
      </w:r>
    </w:p>
    <w:p w14:paraId="6203A4E4" w14:textId="77777777" w:rsidR="007F2AE8" w:rsidRPr="0021461A" w:rsidRDefault="007F2AE8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Proof of budget-financed </w:t>
      </w:r>
      <w:r w:rsidR="00775017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employment 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>at the UKE for the duration of the funding (18 months after approval)</w:t>
      </w:r>
      <w:r w:rsidR="00775017" w:rsidRPr="0021461A">
        <w:rPr>
          <w:rFonts w:asciiTheme="majorHAnsi" w:hAnsiTheme="majorHAnsi" w:cstheme="majorHAnsi"/>
          <w:color w:val="000000"/>
          <w:szCs w:val="22"/>
          <w:lang w:val="en-US"/>
        </w:rPr>
        <w:t>.</w:t>
      </w:r>
    </w:p>
    <w:p w14:paraId="40D9AA6D" w14:textId="71338B2E" w:rsidR="00181509" w:rsidRPr="0021461A" w:rsidRDefault="00310E8A" w:rsidP="00E638D0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A w</w:t>
      </w:r>
      <w:bookmarkStart w:id="0" w:name="_GoBack"/>
      <w:bookmarkEnd w:id="0"/>
      <w:r w:rsidR="00181509" w:rsidRPr="0021461A">
        <w:rPr>
          <w:rFonts w:asciiTheme="majorHAnsi" w:hAnsiTheme="majorHAnsi" w:cstheme="majorHAnsi"/>
          <w:sz w:val="22"/>
          <w:szCs w:val="22"/>
          <w:lang w:val="en-US"/>
        </w:rPr>
        <w:t xml:space="preserve">ritten declaration from the center management that 50% co-financing will be provided. </w:t>
      </w:r>
    </w:p>
    <w:p w14:paraId="796BEB24" w14:textId="77777777" w:rsidR="007F2AE8" w:rsidRPr="0021461A" w:rsidRDefault="007F2AE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</w:p>
    <w:p w14:paraId="3C28B239" w14:textId="77777777" w:rsidR="007F2AE8" w:rsidRPr="0021461A" w:rsidRDefault="007F2AE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b/>
          <w:bCs/>
          <w:color w:val="000000"/>
          <w:szCs w:val="22"/>
          <w:lang w:val="en-US"/>
        </w:rPr>
        <w:t xml:space="preserve">The person to be sponsored supplements the application with the following </w:t>
      </w:r>
      <w:r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>documents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: </w:t>
      </w:r>
    </w:p>
    <w:p w14:paraId="004A0F00" w14:textId="77777777" w:rsidR="0040326F" w:rsidRPr="0021461A" w:rsidRDefault="007F2AE8" w:rsidP="00E638D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Complete curriculum vitae </w:t>
      </w:r>
    </w:p>
    <w:p w14:paraId="342E21C2" w14:textId="77777777" w:rsidR="007F2AE8" w:rsidRPr="0021461A" w:rsidRDefault="003E4D06" w:rsidP="00E638D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Completed </w:t>
      </w:r>
      <w:r w:rsidR="007F2AE8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profile/application form </w:t>
      </w:r>
      <w:r w:rsidR="00B12691" w:rsidRPr="0021461A">
        <w:rPr>
          <w:rFonts w:asciiTheme="majorHAnsi" w:hAnsiTheme="majorHAnsi" w:cstheme="majorHAnsi"/>
          <w:color w:val="000000"/>
          <w:szCs w:val="22"/>
          <w:lang w:val="en-US"/>
        </w:rPr>
        <w:t>(see homepage)</w:t>
      </w:r>
    </w:p>
    <w:p w14:paraId="68D1D024" w14:textId="77777777" w:rsidR="007F2AE8" w:rsidRPr="0021461A" w:rsidRDefault="007F2AE8" w:rsidP="00E638D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lang w:val="en-US"/>
        </w:rPr>
      </w:pP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Complete </w:t>
      </w:r>
      <w:r w:rsidR="003E4D06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list of 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>publications</w:t>
      </w:r>
      <w:r w:rsidR="003E4D06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, third-party funding and teaching using the corresponding template (see homepage) </w:t>
      </w:r>
    </w:p>
    <w:p w14:paraId="542AD3F0" w14:textId="77777777" w:rsidR="00C34B9C" w:rsidRPr="0021461A" w:rsidRDefault="00C34B9C" w:rsidP="00E638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Cs w:val="22"/>
          <w:lang w:val="en-US"/>
        </w:rPr>
      </w:pPr>
    </w:p>
    <w:p w14:paraId="0A117662" w14:textId="77777777" w:rsidR="00C34B9C" w:rsidRPr="0021461A" w:rsidRDefault="00C34B9C" w:rsidP="00E638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b/>
          <w:bCs/>
          <w:color w:val="000000"/>
          <w:szCs w:val="22"/>
          <w:lang w:val="en-US"/>
        </w:rPr>
        <w:t>Important notes</w:t>
      </w:r>
    </w:p>
    <w:p w14:paraId="5AF7390F" w14:textId="77777777" w:rsidR="00C34B9C" w:rsidRPr="0021461A" w:rsidRDefault="00C34B9C" w:rsidP="00E638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</w:p>
    <w:p w14:paraId="5954DBC6" w14:textId="77777777" w:rsidR="00C34B9C" w:rsidRPr="0021461A" w:rsidRDefault="00C34B9C" w:rsidP="00C34B9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Decisions on applications for exemption are made following an internal review process involving the Equal Opportunities Committee. </w:t>
      </w:r>
      <w:r w:rsidR="00987D13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Feedback is usually provided within one month of the application deadline. 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>Half of the costs of the leave of absence are covered by a lump sum from the equality funds and half from the centers' budgets</w:t>
      </w:r>
      <w:r w:rsidR="00636422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. Half of the funding for the position of the funded person by the Equal Opportunities Unit relates to the pure personnel costs and </w:t>
      </w:r>
      <w:r w:rsidR="00611B9D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does not </w:t>
      </w:r>
      <w:r w:rsidR="00636422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include </w:t>
      </w:r>
      <w:r w:rsidR="00611B9D" w:rsidRPr="0021461A">
        <w:rPr>
          <w:rFonts w:asciiTheme="majorHAnsi" w:hAnsiTheme="majorHAnsi" w:cstheme="majorHAnsi"/>
          <w:color w:val="000000"/>
          <w:szCs w:val="22"/>
          <w:lang w:val="en-US"/>
        </w:rPr>
        <w:t>any additional allowances such as night or weekend shifts</w:t>
      </w:r>
      <w:r w:rsidR="00636422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. </w:t>
      </w:r>
      <w:r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 xml:space="preserve">The leave of absence phase </w:t>
      </w:r>
      <w:r w:rsidR="00A274CC"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 xml:space="preserve">must </w:t>
      </w:r>
      <w:r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 xml:space="preserve">begin </w:t>
      </w:r>
      <w:r w:rsidR="00987D13"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 xml:space="preserve">no later than six </w:t>
      </w:r>
      <w:r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 xml:space="preserve">months after </w:t>
      </w:r>
      <w:r w:rsidR="00A274CC"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 xml:space="preserve">the funding application has </w:t>
      </w:r>
      <w:r w:rsidRPr="0021461A">
        <w:rPr>
          <w:rFonts w:asciiTheme="majorHAnsi" w:hAnsiTheme="majorHAnsi" w:cstheme="majorHAnsi"/>
          <w:b/>
          <w:color w:val="000000"/>
          <w:szCs w:val="22"/>
          <w:lang w:val="en-US"/>
        </w:rPr>
        <w:t>been approved and must be taken within a maximum period of 18 months.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 The approved funds are allocated to the budget of the applicant department at the start of the leave of absence. Postponement of the </w:t>
      </w:r>
      <w:r w:rsidR="00DB6354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leave of absence phase 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is only possible in exceptional cases </w:t>
      </w:r>
      <w:r w:rsidR="00DB6354" w:rsidRPr="0021461A">
        <w:rPr>
          <w:rFonts w:asciiTheme="majorHAnsi" w:hAnsiTheme="majorHAnsi" w:cstheme="majorHAnsi"/>
          <w:color w:val="000000"/>
          <w:szCs w:val="22"/>
          <w:lang w:val="en-US"/>
        </w:rPr>
        <w:t xml:space="preserve">for urgent </w:t>
      </w:r>
      <w:r w:rsidRPr="0021461A">
        <w:rPr>
          <w:rFonts w:asciiTheme="majorHAnsi" w:hAnsiTheme="majorHAnsi" w:cstheme="majorHAnsi"/>
          <w:color w:val="000000"/>
          <w:szCs w:val="22"/>
          <w:lang w:val="en-US"/>
        </w:rPr>
        <w:t>reasons and must always be agreed with the Equal Opportunities Department. The Equal Opportunities Unit must be informed immediately if the funded person leaves or changes jobs</w:t>
      </w:r>
    </w:p>
    <w:p w14:paraId="27802747" w14:textId="77777777" w:rsidR="00C34B9C" w:rsidRPr="0021461A" w:rsidRDefault="00C34B9C" w:rsidP="0063642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Cs w:val="22"/>
          <w:lang w:val="en-US"/>
        </w:rPr>
      </w:pPr>
    </w:p>
    <w:p w14:paraId="7A6F9B4B" w14:textId="77777777" w:rsidR="00C34B9C" w:rsidRPr="0021461A" w:rsidRDefault="00C34B9C" w:rsidP="0063642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Cs w:val="22"/>
          <w:lang w:val="en-US"/>
        </w:rPr>
      </w:pPr>
    </w:p>
    <w:p w14:paraId="26A5778C" w14:textId="77777777" w:rsidR="00586BEF" w:rsidRPr="0021461A" w:rsidRDefault="007F2AE8" w:rsidP="0063642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color w:val="000000"/>
          <w:szCs w:val="22"/>
          <w:lang w:val="en-US"/>
        </w:rPr>
      </w:pPr>
      <w:r w:rsidRPr="0021461A">
        <w:rPr>
          <w:rFonts w:asciiTheme="majorHAnsi" w:hAnsiTheme="majorHAnsi" w:cstheme="majorHAnsi"/>
          <w:b/>
          <w:bCs/>
          <w:color w:val="000000"/>
          <w:szCs w:val="22"/>
          <w:lang w:val="en-US"/>
        </w:rPr>
        <w:t xml:space="preserve">Applications should be sent to the </w:t>
      </w:r>
      <w:r w:rsidR="00775017" w:rsidRPr="0021461A">
        <w:rPr>
          <w:rFonts w:asciiTheme="majorHAnsi" w:hAnsiTheme="majorHAnsi" w:cstheme="majorHAnsi"/>
          <w:b/>
          <w:bCs/>
          <w:color w:val="000000"/>
          <w:szCs w:val="22"/>
          <w:lang w:val="en-US"/>
        </w:rPr>
        <w:t>Equal Opportunities Department:</w:t>
      </w:r>
    </w:p>
    <w:p w14:paraId="34E7ED88" w14:textId="77777777" w:rsidR="007F2AE8" w:rsidRPr="00060E19" w:rsidRDefault="00354975" w:rsidP="0063642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Cs/>
          <w:color w:val="000000"/>
          <w:szCs w:val="22"/>
        </w:rPr>
      </w:pPr>
      <w:r w:rsidRPr="00060E19">
        <w:rPr>
          <w:rFonts w:asciiTheme="majorHAnsi" w:hAnsiTheme="majorHAnsi" w:cstheme="majorHAnsi"/>
          <w:bCs/>
          <w:color w:val="000000"/>
          <w:szCs w:val="22"/>
        </w:rPr>
        <w:t xml:space="preserve">Janne Ehlers </w:t>
      </w:r>
      <w:r w:rsidR="00586BEF" w:rsidRPr="00060E19">
        <w:rPr>
          <w:rFonts w:asciiTheme="majorHAnsi" w:hAnsiTheme="majorHAnsi" w:cstheme="majorHAnsi"/>
          <w:bCs/>
          <w:color w:val="000000"/>
          <w:szCs w:val="22"/>
        </w:rPr>
        <w:t xml:space="preserve">Tel. 7410 58354 </w:t>
      </w:r>
      <w:hyperlink r:id="rId8" w:history="1">
        <w:r w:rsidR="00775017" w:rsidRPr="00060E19">
          <w:rPr>
            <w:rStyle w:val="Hyperlink"/>
            <w:rFonts w:asciiTheme="majorHAnsi" w:hAnsiTheme="majorHAnsi" w:cstheme="majorHAnsi"/>
            <w:bCs/>
            <w:szCs w:val="22"/>
          </w:rPr>
          <w:t>gleichstellung@uke.de</w:t>
        </w:r>
      </w:hyperlink>
    </w:p>
    <w:p w14:paraId="409052AC" w14:textId="77777777" w:rsidR="00E87660" w:rsidRPr="00060E19" w:rsidRDefault="00E87660" w:rsidP="0063642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</w:rPr>
      </w:pPr>
    </w:p>
    <w:p w14:paraId="7BC06945" w14:textId="77777777" w:rsidR="007F2AE8" w:rsidRPr="00060E19" w:rsidRDefault="007F2AE8" w:rsidP="0063642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Cs w:val="22"/>
        </w:rPr>
      </w:pPr>
    </w:p>
    <w:p w14:paraId="1F9385A3" w14:textId="77777777" w:rsidR="007F2AE8" w:rsidRPr="0021461A" w:rsidRDefault="007F2AE8">
      <w:pPr>
        <w:jc w:val="both"/>
        <w:rPr>
          <w:rFonts w:asciiTheme="majorHAnsi" w:hAnsiTheme="majorHAnsi" w:cstheme="majorHAnsi"/>
          <w:b/>
          <w:color w:val="004992" w:themeColor="accent1"/>
          <w:szCs w:val="22"/>
          <w:lang w:val="en-US"/>
        </w:rPr>
      </w:pPr>
      <w:r w:rsidRPr="0021461A">
        <w:rPr>
          <w:rFonts w:asciiTheme="majorHAnsi" w:hAnsiTheme="majorHAnsi" w:cstheme="majorHAnsi"/>
          <w:b/>
          <w:color w:val="004992" w:themeColor="accent1"/>
          <w:szCs w:val="22"/>
          <w:lang w:val="en-US"/>
        </w:rPr>
        <w:t xml:space="preserve">At the end of the funding phase, </w:t>
      </w:r>
      <w:r w:rsidR="00586BEF" w:rsidRPr="0021461A">
        <w:rPr>
          <w:rFonts w:asciiTheme="majorHAnsi" w:hAnsiTheme="majorHAnsi" w:cstheme="majorHAnsi"/>
          <w:b/>
          <w:color w:val="004992" w:themeColor="accent1"/>
          <w:szCs w:val="22"/>
          <w:lang w:val="en-US"/>
        </w:rPr>
        <w:t xml:space="preserve">the Equal Opportunities Office </w:t>
      </w:r>
      <w:r w:rsidRPr="0021461A">
        <w:rPr>
          <w:rFonts w:asciiTheme="majorHAnsi" w:hAnsiTheme="majorHAnsi" w:cstheme="majorHAnsi"/>
          <w:b/>
          <w:color w:val="004992" w:themeColor="accent1"/>
          <w:szCs w:val="22"/>
          <w:lang w:val="en-US"/>
        </w:rPr>
        <w:t>expects a report on the results achieved during the release phase and a perspective on the progress of the habilitation project.</w:t>
      </w:r>
    </w:p>
    <w:p w14:paraId="797A8492" w14:textId="77777777" w:rsidR="00EE45C2" w:rsidRPr="0021461A" w:rsidRDefault="00EE45C2" w:rsidP="002D233F">
      <w:pPr>
        <w:spacing w:after="24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sectPr w:rsidR="00EE45C2" w:rsidRPr="0021461A" w:rsidSect="007F2AE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558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A497" w14:textId="77777777" w:rsidR="004225D3" w:rsidRDefault="004225D3" w:rsidP="001938D3">
      <w:r>
        <w:separator/>
      </w:r>
    </w:p>
    <w:p w14:paraId="1EF10E79" w14:textId="77777777" w:rsidR="004225D3" w:rsidRDefault="004225D3" w:rsidP="001938D3"/>
  </w:endnote>
  <w:endnote w:type="continuationSeparator" w:id="0">
    <w:p w14:paraId="3EED42F6" w14:textId="77777777" w:rsidR="004225D3" w:rsidRDefault="004225D3" w:rsidP="001938D3">
      <w:r>
        <w:continuationSeparator/>
      </w:r>
    </w:p>
    <w:p w14:paraId="2F2EA478" w14:textId="77777777" w:rsidR="004225D3" w:rsidRDefault="004225D3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3087"/>
    </w:tblGrid>
    <w:tr w:rsidR="008C25DD" w:rsidRPr="00060E19" w14:paraId="443D9B3D" w14:textId="77777777" w:rsidTr="007A080A">
      <w:tc>
        <w:tcPr>
          <w:tcW w:w="9072" w:type="dxa"/>
        </w:tcPr>
        <w:p w14:paraId="6873BAE7" w14:textId="77777777" w:rsidR="008C25DD" w:rsidRPr="0021461A" w:rsidRDefault="00600149" w:rsidP="009103D7">
          <w:pPr>
            <w:pStyle w:val="Fuzeile"/>
            <w:pBdr>
              <w:top w:val="single" w:sz="4" w:space="1" w:color="auto"/>
            </w:pBdr>
            <w:jc w:val="right"/>
            <w:rPr>
              <w:lang w:val="en-US"/>
            </w:rPr>
          </w:pPr>
          <w:r w:rsidRPr="0021461A">
            <w:rPr>
              <w:lang w:val="en-US"/>
            </w:rPr>
            <w:t xml:space="preserve">Equal Opportunities Department, contact: </w:t>
          </w:r>
          <w:r w:rsidR="009103D7" w:rsidRPr="0021461A">
            <w:rPr>
              <w:lang w:val="en-US"/>
            </w:rPr>
            <w:t xml:space="preserve">Janne Ehlers </w:t>
          </w:r>
          <w:r w:rsidRPr="0021461A">
            <w:rPr>
              <w:lang w:val="en-US"/>
            </w:rPr>
            <w:t>Tel. 040 7410 58354, gleichstellung@uke.de</w:t>
          </w:r>
        </w:p>
      </w:tc>
      <w:tc>
        <w:tcPr>
          <w:tcW w:w="3087" w:type="dxa"/>
          <w:vAlign w:val="bottom"/>
        </w:tcPr>
        <w:p w14:paraId="3AD6245B" w14:textId="77777777" w:rsidR="008C25DD" w:rsidRPr="0021461A" w:rsidRDefault="008C25DD" w:rsidP="00600149">
          <w:pPr>
            <w:pStyle w:val="FuzeileUKE"/>
            <w:pBdr>
              <w:top w:val="single" w:sz="4" w:space="1" w:color="auto"/>
            </w:pBdr>
            <w:rPr>
              <w:lang w:val="en-US"/>
            </w:rPr>
          </w:pPr>
        </w:p>
      </w:tc>
    </w:tr>
  </w:tbl>
  <w:p w14:paraId="0A794762" w14:textId="77777777" w:rsidR="008132BE" w:rsidRPr="0021461A" w:rsidRDefault="008132BE" w:rsidP="008C25DD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  <w:gridCol w:w="1103"/>
    </w:tblGrid>
    <w:tr w:rsidR="00463309" w14:paraId="306E118A" w14:textId="77777777" w:rsidTr="004342E3">
      <w:tc>
        <w:tcPr>
          <w:tcW w:w="7088" w:type="dxa"/>
        </w:tcPr>
        <w:p w14:paraId="2E20BE79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gridSpan w:val="2"/>
          <w:vAlign w:val="bottom"/>
        </w:tcPr>
        <w:p w14:paraId="3937E58D" w14:textId="77777777" w:rsidR="00463309" w:rsidRPr="00F807AE" w:rsidRDefault="00463309" w:rsidP="001938D3">
          <w:pPr>
            <w:pStyle w:val="FuzeileUKE"/>
          </w:pPr>
        </w:p>
      </w:tc>
    </w:tr>
    <w:tr w:rsidR="008910F3" w:rsidRPr="00060E19" w14:paraId="656E8824" w14:textId="77777777" w:rsidTr="007A080A">
      <w:trPr>
        <w:gridAfter w:val="1"/>
        <w:wAfter w:w="1103" w:type="dxa"/>
      </w:trPr>
      <w:tc>
        <w:tcPr>
          <w:tcW w:w="9072" w:type="dxa"/>
          <w:gridSpan w:val="2"/>
        </w:tcPr>
        <w:p w14:paraId="09A3A145" w14:textId="77777777" w:rsidR="008910F3" w:rsidRPr="0021461A" w:rsidRDefault="008910F3" w:rsidP="009103D7">
          <w:pPr>
            <w:pStyle w:val="Fuzeile"/>
            <w:pBdr>
              <w:top w:val="single" w:sz="4" w:space="1" w:color="auto"/>
            </w:pBdr>
            <w:jc w:val="right"/>
            <w:rPr>
              <w:lang w:val="en-US"/>
            </w:rPr>
          </w:pPr>
          <w:r w:rsidRPr="0021461A">
            <w:rPr>
              <w:lang w:val="en-US"/>
            </w:rPr>
            <w:t xml:space="preserve">Equal Opportunities Department, contact: </w:t>
          </w:r>
          <w:r w:rsidR="009103D7" w:rsidRPr="0021461A">
            <w:rPr>
              <w:lang w:val="en-US"/>
            </w:rPr>
            <w:t xml:space="preserve">Janne Ehlers </w:t>
          </w:r>
          <w:r w:rsidRPr="0021461A">
            <w:rPr>
              <w:lang w:val="en-US"/>
            </w:rPr>
            <w:t>Tel. 040 7410 58354, gleichstellung@uke.de</w:t>
          </w:r>
        </w:p>
      </w:tc>
    </w:tr>
  </w:tbl>
  <w:p w14:paraId="5C69B022" w14:textId="77777777" w:rsidR="00463309" w:rsidRPr="0021461A" w:rsidRDefault="00463309" w:rsidP="008910F3">
    <w:pPr>
      <w:pStyle w:val="Fu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B84B5" w14:textId="77777777" w:rsidR="004225D3" w:rsidRDefault="004225D3" w:rsidP="001938D3">
      <w:r>
        <w:separator/>
      </w:r>
    </w:p>
    <w:p w14:paraId="1A0EF683" w14:textId="77777777" w:rsidR="004225D3" w:rsidRDefault="004225D3" w:rsidP="001938D3"/>
  </w:footnote>
  <w:footnote w:type="continuationSeparator" w:id="0">
    <w:p w14:paraId="50198A35" w14:textId="77777777" w:rsidR="004225D3" w:rsidRDefault="004225D3" w:rsidP="001938D3">
      <w:r>
        <w:continuationSeparator/>
      </w:r>
    </w:p>
    <w:p w14:paraId="7ED7E7B2" w14:textId="77777777" w:rsidR="004225D3" w:rsidRDefault="004225D3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62AA859C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F6FD094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C009F21" wp14:editId="1EE59BF1">
                <wp:extent cx="270000" cy="236250"/>
                <wp:effectExtent l="0" t="0" r="0" b="0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0FA1A1F3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46CE952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E3C197B" w14:textId="77777777" w:rsidR="00FA51DE" w:rsidRPr="00E83357" w:rsidRDefault="00FA51DE" w:rsidP="00030C2B">
          <w:pPr>
            <w:pStyle w:val="Seitenleiste"/>
          </w:pPr>
          <w:r w:rsidRPr="00201EF0">
            <w:t>Page 2/2</w:t>
          </w:r>
        </w:p>
      </w:tc>
    </w:tr>
    <w:tr w:rsidR="00FA51DE" w:rsidRPr="001A3B60" w14:paraId="368FA4E0" w14:textId="77777777" w:rsidTr="001A3B60">
      <w:tc>
        <w:tcPr>
          <w:tcW w:w="567" w:type="dxa"/>
          <w:vMerge/>
        </w:tcPr>
        <w:p w14:paraId="42D48A2A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6EC53496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1E7F5BB3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16EDA996" w14:textId="77777777" w:rsidR="00FA51DE" w:rsidRPr="00201EF0" w:rsidRDefault="00FA51DE" w:rsidP="00030C2B">
          <w:pPr>
            <w:pStyle w:val="Seitenleiste"/>
          </w:pPr>
        </w:p>
      </w:tc>
    </w:tr>
  </w:tbl>
  <w:p w14:paraId="3FB506DB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699C4184" wp14:editId="2A8A6468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25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4992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from="0,62.35pt" to="595.3pt,62.65pt" w14:anchorId="7FD80693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060E19" w14:paraId="322741AA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4149FC13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3AC280" wp14:editId="5B445E5F">
                <wp:extent cx="540000" cy="569421"/>
                <wp:effectExtent l="0" t="0" r="0" b="254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4E583D64" w14:textId="77777777" w:rsidR="001A3B60" w:rsidRPr="0021461A" w:rsidRDefault="00484C89" w:rsidP="008C25DD">
          <w:pPr>
            <w:pStyle w:val="KopfzeileGeschftsbereich"/>
            <w:rPr>
              <w:lang w:val="en-US"/>
            </w:rPr>
          </w:pPr>
          <w:r w:rsidRPr="0021461A">
            <w:rPr>
              <w:lang w:val="en-US"/>
            </w:rPr>
            <w:t>Equal Opportunities Office for academic staff and students</w:t>
          </w:r>
        </w:p>
      </w:tc>
      <w:tc>
        <w:tcPr>
          <w:tcW w:w="425" w:type="dxa"/>
          <w:vAlign w:val="bottom"/>
        </w:tcPr>
        <w:p w14:paraId="2A381306" w14:textId="77777777" w:rsidR="001A3B60" w:rsidRPr="0021461A" w:rsidRDefault="001A3B60" w:rsidP="00D216F4">
          <w:pPr>
            <w:pStyle w:val="KopfzeileGeschftsbereich"/>
            <w:rPr>
              <w:noProof/>
              <w:lang w:val="en-US"/>
            </w:rPr>
          </w:pPr>
        </w:p>
      </w:tc>
      <w:tc>
        <w:tcPr>
          <w:tcW w:w="5217" w:type="dxa"/>
          <w:vAlign w:val="bottom"/>
        </w:tcPr>
        <w:p w14:paraId="443EA406" w14:textId="77777777" w:rsidR="001A3B60" w:rsidRPr="0021461A" w:rsidRDefault="001A3B60" w:rsidP="00030C2B">
          <w:pPr>
            <w:pStyle w:val="Seitenleiste"/>
            <w:rPr>
              <w:lang w:val="en-US"/>
            </w:rPr>
          </w:pPr>
        </w:p>
      </w:tc>
    </w:tr>
    <w:tr w:rsidR="001A3B60" w:rsidRPr="00060E19" w14:paraId="4403416D" w14:textId="77777777" w:rsidTr="004342E3">
      <w:trPr>
        <w:trHeight w:val="794"/>
      </w:trPr>
      <w:tc>
        <w:tcPr>
          <w:tcW w:w="1162" w:type="dxa"/>
          <w:vMerge/>
        </w:tcPr>
        <w:p w14:paraId="270ED52D" w14:textId="77777777" w:rsidR="001A3B60" w:rsidRPr="0021461A" w:rsidRDefault="001A3B60" w:rsidP="001938D3">
          <w:pPr>
            <w:pStyle w:val="KopfzeileTopSpace"/>
            <w:rPr>
              <w:noProof/>
              <w:lang w:val="en-US"/>
            </w:rPr>
          </w:pPr>
        </w:p>
      </w:tc>
      <w:tc>
        <w:tcPr>
          <w:tcW w:w="3233" w:type="dxa"/>
        </w:tcPr>
        <w:p w14:paraId="7F14DE95" w14:textId="77777777" w:rsidR="001A3B60" w:rsidRPr="0021461A" w:rsidRDefault="001A3B60" w:rsidP="001938D3">
          <w:pPr>
            <w:pStyle w:val="KopfzeileTopSpace"/>
            <w:rPr>
              <w:noProof/>
              <w:lang w:val="en-US"/>
            </w:rPr>
          </w:pPr>
        </w:p>
      </w:tc>
      <w:tc>
        <w:tcPr>
          <w:tcW w:w="425" w:type="dxa"/>
        </w:tcPr>
        <w:p w14:paraId="5EAC0605" w14:textId="77777777" w:rsidR="001A3B60" w:rsidRPr="0021461A" w:rsidRDefault="001A3B60" w:rsidP="001938D3">
          <w:pPr>
            <w:pStyle w:val="KopfzeileTopSpace"/>
            <w:rPr>
              <w:noProof/>
              <w:lang w:val="en-US"/>
            </w:rPr>
          </w:pPr>
        </w:p>
      </w:tc>
      <w:tc>
        <w:tcPr>
          <w:tcW w:w="5217" w:type="dxa"/>
        </w:tcPr>
        <w:p w14:paraId="086FCC74" w14:textId="77777777" w:rsidR="001A3B60" w:rsidRPr="0021461A" w:rsidRDefault="001A3B60" w:rsidP="001938D3">
          <w:pPr>
            <w:pStyle w:val="KopfzeileTopSpace"/>
            <w:rPr>
              <w:noProof/>
              <w:lang w:val="en-US"/>
            </w:rPr>
          </w:pPr>
        </w:p>
      </w:tc>
    </w:tr>
  </w:tbl>
  <w:p w14:paraId="4BF1D0C8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68E5535A" wp14:editId="40BB92AA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25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4992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from="0,93.55pt" to="595.3pt,93.85pt" w14:anchorId="1FA57A86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C53AA"/>
    <w:multiLevelType w:val="multilevel"/>
    <w:tmpl w:val="C856FF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C52F6"/>
    <w:multiLevelType w:val="multilevel"/>
    <w:tmpl w:val="C9F0A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992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F0AE6"/>
    <w:multiLevelType w:val="hybridMultilevel"/>
    <w:tmpl w:val="8FA897F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E665F"/>
    <w:multiLevelType w:val="hybridMultilevel"/>
    <w:tmpl w:val="4F3E8398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8" w15:restartNumberingAfterBreak="0">
    <w:nsid w:val="45934880"/>
    <w:multiLevelType w:val="hybridMultilevel"/>
    <w:tmpl w:val="2EB07260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34A84"/>
    <w:multiLevelType w:val="hybridMultilevel"/>
    <w:tmpl w:val="FB2A2CCC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11" w15:restartNumberingAfterBreak="0">
    <w:nsid w:val="4AE16873"/>
    <w:multiLevelType w:val="multilevel"/>
    <w:tmpl w:val="8F4E1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992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D52B8"/>
    <w:multiLevelType w:val="hybridMultilevel"/>
    <w:tmpl w:val="0152047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3A281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3B5F39"/>
    <w:multiLevelType w:val="hybridMultilevel"/>
    <w:tmpl w:val="8B94103E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8"/>
    <w:rsid w:val="00004032"/>
    <w:rsid w:val="0001186F"/>
    <w:rsid w:val="00026095"/>
    <w:rsid w:val="00030C2B"/>
    <w:rsid w:val="00032533"/>
    <w:rsid w:val="00032C2A"/>
    <w:rsid w:val="00032E3F"/>
    <w:rsid w:val="000404D4"/>
    <w:rsid w:val="0005437B"/>
    <w:rsid w:val="00056869"/>
    <w:rsid w:val="00060E1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1BD"/>
    <w:rsid w:val="000E6D85"/>
    <w:rsid w:val="000F6980"/>
    <w:rsid w:val="0010782A"/>
    <w:rsid w:val="00107C15"/>
    <w:rsid w:val="001107D1"/>
    <w:rsid w:val="00112964"/>
    <w:rsid w:val="00126E41"/>
    <w:rsid w:val="001374D4"/>
    <w:rsid w:val="00144497"/>
    <w:rsid w:val="0014473B"/>
    <w:rsid w:val="001459B2"/>
    <w:rsid w:val="001512C4"/>
    <w:rsid w:val="0018092D"/>
    <w:rsid w:val="00181509"/>
    <w:rsid w:val="00184CDA"/>
    <w:rsid w:val="00186A0E"/>
    <w:rsid w:val="00190EB5"/>
    <w:rsid w:val="001938D3"/>
    <w:rsid w:val="001978BC"/>
    <w:rsid w:val="001A3B60"/>
    <w:rsid w:val="001A74D8"/>
    <w:rsid w:val="001A7ED9"/>
    <w:rsid w:val="001B3BEB"/>
    <w:rsid w:val="001B659D"/>
    <w:rsid w:val="001C27EF"/>
    <w:rsid w:val="001C39A5"/>
    <w:rsid w:val="001D123E"/>
    <w:rsid w:val="001D2744"/>
    <w:rsid w:val="001D5C26"/>
    <w:rsid w:val="001E0B0A"/>
    <w:rsid w:val="001E25DA"/>
    <w:rsid w:val="001E4CE5"/>
    <w:rsid w:val="001E54EF"/>
    <w:rsid w:val="001F0383"/>
    <w:rsid w:val="001F0CAE"/>
    <w:rsid w:val="001F46A8"/>
    <w:rsid w:val="001F6D70"/>
    <w:rsid w:val="00200D8A"/>
    <w:rsid w:val="00201EF0"/>
    <w:rsid w:val="00213F8A"/>
    <w:rsid w:val="0021461A"/>
    <w:rsid w:val="0022115F"/>
    <w:rsid w:val="00232571"/>
    <w:rsid w:val="00233528"/>
    <w:rsid w:val="00234D68"/>
    <w:rsid w:val="0024333C"/>
    <w:rsid w:val="0026056C"/>
    <w:rsid w:val="00274B44"/>
    <w:rsid w:val="002765B5"/>
    <w:rsid w:val="0028084F"/>
    <w:rsid w:val="0029626B"/>
    <w:rsid w:val="002A3997"/>
    <w:rsid w:val="002B6B94"/>
    <w:rsid w:val="002C005D"/>
    <w:rsid w:val="002C07BC"/>
    <w:rsid w:val="002C0BFB"/>
    <w:rsid w:val="002C2020"/>
    <w:rsid w:val="002C709F"/>
    <w:rsid w:val="002D233F"/>
    <w:rsid w:val="002E7682"/>
    <w:rsid w:val="002F328F"/>
    <w:rsid w:val="00310E8A"/>
    <w:rsid w:val="00326442"/>
    <w:rsid w:val="003343DA"/>
    <w:rsid w:val="0034515C"/>
    <w:rsid w:val="00347517"/>
    <w:rsid w:val="00354975"/>
    <w:rsid w:val="003657C6"/>
    <w:rsid w:val="0037065B"/>
    <w:rsid w:val="0037480D"/>
    <w:rsid w:val="0037626B"/>
    <w:rsid w:val="003855F6"/>
    <w:rsid w:val="003B0197"/>
    <w:rsid w:val="003B3C3A"/>
    <w:rsid w:val="003C1F8A"/>
    <w:rsid w:val="003C2044"/>
    <w:rsid w:val="003C780B"/>
    <w:rsid w:val="003D4C1C"/>
    <w:rsid w:val="003D4F81"/>
    <w:rsid w:val="003D6E16"/>
    <w:rsid w:val="003E275A"/>
    <w:rsid w:val="003E3A93"/>
    <w:rsid w:val="003E4D06"/>
    <w:rsid w:val="003E5E06"/>
    <w:rsid w:val="003F2676"/>
    <w:rsid w:val="003F2A91"/>
    <w:rsid w:val="0040326F"/>
    <w:rsid w:val="0041692E"/>
    <w:rsid w:val="004225D3"/>
    <w:rsid w:val="004342E3"/>
    <w:rsid w:val="004354B6"/>
    <w:rsid w:val="0044506A"/>
    <w:rsid w:val="00451DF5"/>
    <w:rsid w:val="004521DB"/>
    <w:rsid w:val="00463309"/>
    <w:rsid w:val="004633F1"/>
    <w:rsid w:val="00464BC7"/>
    <w:rsid w:val="00464C0B"/>
    <w:rsid w:val="004666BA"/>
    <w:rsid w:val="0047178C"/>
    <w:rsid w:val="00476B47"/>
    <w:rsid w:val="004849A1"/>
    <w:rsid w:val="00484C89"/>
    <w:rsid w:val="0049589E"/>
    <w:rsid w:val="004B5519"/>
    <w:rsid w:val="004C2422"/>
    <w:rsid w:val="004C2DA0"/>
    <w:rsid w:val="004E07C4"/>
    <w:rsid w:val="004E5D07"/>
    <w:rsid w:val="004E645B"/>
    <w:rsid w:val="004F1BB5"/>
    <w:rsid w:val="00502791"/>
    <w:rsid w:val="00515779"/>
    <w:rsid w:val="00532636"/>
    <w:rsid w:val="00534A25"/>
    <w:rsid w:val="00542A19"/>
    <w:rsid w:val="005533C3"/>
    <w:rsid w:val="0055359E"/>
    <w:rsid w:val="005657D1"/>
    <w:rsid w:val="0056616C"/>
    <w:rsid w:val="00567DBC"/>
    <w:rsid w:val="005702C8"/>
    <w:rsid w:val="00581EEC"/>
    <w:rsid w:val="00586BEF"/>
    <w:rsid w:val="0059123B"/>
    <w:rsid w:val="005924A2"/>
    <w:rsid w:val="00594AD5"/>
    <w:rsid w:val="005A75CF"/>
    <w:rsid w:val="005C22CF"/>
    <w:rsid w:val="005C454A"/>
    <w:rsid w:val="005C70AD"/>
    <w:rsid w:val="005C75F9"/>
    <w:rsid w:val="005D24EA"/>
    <w:rsid w:val="005E16FD"/>
    <w:rsid w:val="00600149"/>
    <w:rsid w:val="0060102E"/>
    <w:rsid w:val="00611B9D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36422"/>
    <w:rsid w:val="00647794"/>
    <w:rsid w:val="00651F77"/>
    <w:rsid w:val="0065793E"/>
    <w:rsid w:val="00660E9F"/>
    <w:rsid w:val="006747A9"/>
    <w:rsid w:val="00683440"/>
    <w:rsid w:val="00686C1A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75017"/>
    <w:rsid w:val="00786FE0"/>
    <w:rsid w:val="00791A8D"/>
    <w:rsid w:val="007A080A"/>
    <w:rsid w:val="007A08DD"/>
    <w:rsid w:val="007A0E4E"/>
    <w:rsid w:val="007A3256"/>
    <w:rsid w:val="007A533E"/>
    <w:rsid w:val="007B4D83"/>
    <w:rsid w:val="007C2D57"/>
    <w:rsid w:val="007C2DDF"/>
    <w:rsid w:val="007C5D91"/>
    <w:rsid w:val="007C763C"/>
    <w:rsid w:val="007D1BC0"/>
    <w:rsid w:val="007D1C72"/>
    <w:rsid w:val="007D6047"/>
    <w:rsid w:val="007E06BA"/>
    <w:rsid w:val="007E2EFC"/>
    <w:rsid w:val="007E353F"/>
    <w:rsid w:val="007F2AE8"/>
    <w:rsid w:val="008016A7"/>
    <w:rsid w:val="0080516F"/>
    <w:rsid w:val="008132BE"/>
    <w:rsid w:val="008144B7"/>
    <w:rsid w:val="00825D24"/>
    <w:rsid w:val="00842728"/>
    <w:rsid w:val="00867949"/>
    <w:rsid w:val="00875785"/>
    <w:rsid w:val="008910F3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03D7"/>
    <w:rsid w:val="00913B44"/>
    <w:rsid w:val="00920865"/>
    <w:rsid w:val="00922375"/>
    <w:rsid w:val="00931B8E"/>
    <w:rsid w:val="00931CEF"/>
    <w:rsid w:val="0093298E"/>
    <w:rsid w:val="009352D5"/>
    <w:rsid w:val="0095216B"/>
    <w:rsid w:val="00952308"/>
    <w:rsid w:val="00956644"/>
    <w:rsid w:val="00960BCE"/>
    <w:rsid w:val="00972AEE"/>
    <w:rsid w:val="009740BA"/>
    <w:rsid w:val="0097731D"/>
    <w:rsid w:val="0098074D"/>
    <w:rsid w:val="00986F3A"/>
    <w:rsid w:val="00987D13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9F6B9B"/>
    <w:rsid w:val="00A07DA7"/>
    <w:rsid w:val="00A100D5"/>
    <w:rsid w:val="00A20575"/>
    <w:rsid w:val="00A20D70"/>
    <w:rsid w:val="00A22316"/>
    <w:rsid w:val="00A274CC"/>
    <w:rsid w:val="00A321EC"/>
    <w:rsid w:val="00A42AEB"/>
    <w:rsid w:val="00A43E94"/>
    <w:rsid w:val="00A44C76"/>
    <w:rsid w:val="00A5294F"/>
    <w:rsid w:val="00A5433A"/>
    <w:rsid w:val="00A55EE3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12691"/>
    <w:rsid w:val="00B21EC2"/>
    <w:rsid w:val="00B26990"/>
    <w:rsid w:val="00B3171C"/>
    <w:rsid w:val="00B32866"/>
    <w:rsid w:val="00B537BB"/>
    <w:rsid w:val="00B71031"/>
    <w:rsid w:val="00B81A9A"/>
    <w:rsid w:val="00B849FC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C0169B"/>
    <w:rsid w:val="00C12DF6"/>
    <w:rsid w:val="00C13942"/>
    <w:rsid w:val="00C15722"/>
    <w:rsid w:val="00C17DFE"/>
    <w:rsid w:val="00C213D3"/>
    <w:rsid w:val="00C34B9C"/>
    <w:rsid w:val="00C356A9"/>
    <w:rsid w:val="00C35ABE"/>
    <w:rsid w:val="00C503AD"/>
    <w:rsid w:val="00C5042F"/>
    <w:rsid w:val="00C52588"/>
    <w:rsid w:val="00C56416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B6354"/>
    <w:rsid w:val="00DC4247"/>
    <w:rsid w:val="00DC56FD"/>
    <w:rsid w:val="00DD0ED2"/>
    <w:rsid w:val="00DE1BC4"/>
    <w:rsid w:val="00DE3E67"/>
    <w:rsid w:val="00DE5C7E"/>
    <w:rsid w:val="00DF1B2B"/>
    <w:rsid w:val="00DF3C08"/>
    <w:rsid w:val="00DF53EB"/>
    <w:rsid w:val="00E05208"/>
    <w:rsid w:val="00E20FF3"/>
    <w:rsid w:val="00E36EAB"/>
    <w:rsid w:val="00E638D0"/>
    <w:rsid w:val="00E645A6"/>
    <w:rsid w:val="00E70900"/>
    <w:rsid w:val="00E83357"/>
    <w:rsid w:val="00E843A2"/>
    <w:rsid w:val="00E851A8"/>
    <w:rsid w:val="00E86E17"/>
    <w:rsid w:val="00E87660"/>
    <w:rsid w:val="00E933E7"/>
    <w:rsid w:val="00EA6C77"/>
    <w:rsid w:val="00EC1FC6"/>
    <w:rsid w:val="00ED2490"/>
    <w:rsid w:val="00EE4573"/>
    <w:rsid w:val="00EE45C2"/>
    <w:rsid w:val="00EE733E"/>
    <w:rsid w:val="00EF18C8"/>
    <w:rsid w:val="00F121E1"/>
    <w:rsid w:val="00F12337"/>
    <w:rsid w:val="00F30170"/>
    <w:rsid w:val="00F30425"/>
    <w:rsid w:val="00F47BC8"/>
    <w:rsid w:val="00F5765D"/>
    <w:rsid w:val="00F7579A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16A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629E658"/>
  <w15:docId w15:val="{8A7D72A8-517F-48A7-B0A1-005441B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7F2AE8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uiPriority w:val="22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7F2AE8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7F2AE8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02609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260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26095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60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6095"/>
    <w:rPr>
      <w:rFonts w:asciiTheme="minorHAnsi" w:hAnsiTheme="minorHAnsi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CBB3-2CDF-4E16-801E-38B4FFA4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keywords>, docId:351C865ABF5A5E997B31C497359D65F9</cp:keywords>
  <cp:lastModifiedBy>Path, Heike</cp:lastModifiedBy>
  <cp:revision>4</cp:revision>
  <cp:lastPrinted>2016-08-15T13:52:00Z</cp:lastPrinted>
  <dcterms:created xsi:type="dcterms:W3CDTF">2025-05-28T08:18:00Z</dcterms:created>
  <dcterms:modified xsi:type="dcterms:W3CDTF">2025-05-28T08:25:00Z</dcterms:modified>
</cp:coreProperties>
</file>