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C6EE" w14:textId="2A37AD88" w:rsidR="00102997" w:rsidRPr="00942A69" w:rsidRDefault="00A64565" w:rsidP="00102997">
      <w:pPr>
        <w:rPr>
          <w:rFonts w:asciiTheme="majorHAnsi" w:hAnsiTheme="majorHAnsi" w:cstheme="majorHAnsi"/>
          <w:b/>
          <w:bCs/>
          <w:lang w:val="en-US"/>
        </w:rPr>
      </w:pPr>
      <w:r>
        <w:pict w14:anchorId="05A70531">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62336;visibility:hidden;mso-wrap-edited:f;mso-width-percent:0;mso-height-percent:0;mso-position-horizontal-relative:text;mso-position-vertical-relative:text;mso-width-percent:0;mso-height-percent:0">
            <o:lock v:ext="edit" selection="t"/>
          </v:shape>
        </w:pict>
      </w:r>
      <w:r w:rsidR="00102997" w:rsidRPr="00942A69">
        <w:rPr>
          <w:rFonts w:asciiTheme="majorHAnsi" w:hAnsiTheme="majorHAnsi" w:cstheme="majorHAnsi"/>
          <w:b/>
          <w:bCs/>
          <w:color w:val="004992" w:themeColor="accent1"/>
          <w:sz w:val="24"/>
          <w:szCs w:val="22"/>
          <w:lang w:val="en-US"/>
        </w:rPr>
        <w:t>Guidelines for applying for a bonus position after a woman's habilitation</w:t>
      </w:r>
    </w:p>
    <w:p w14:paraId="492944BE" w14:textId="77777777" w:rsidR="00102997" w:rsidRPr="00942A69" w:rsidRDefault="00102997" w:rsidP="00ED53FC">
      <w:pPr>
        <w:pStyle w:val="Betreff"/>
        <w:spacing w:after="480"/>
        <w:rPr>
          <w:rFonts w:cstheme="majorHAnsi"/>
          <w:color w:val="004992" w:themeColor="accent1"/>
          <w:szCs w:val="22"/>
          <w:lang w:val="en-US"/>
        </w:rPr>
      </w:pPr>
      <w:r w:rsidRPr="00942A69">
        <w:rPr>
          <w:rFonts w:cstheme="majorHAnsi"/>
          <w:color w:val="004992" w:themeColor="accent1"/>
          <w:szCs w:val="22"/>
          <w:lang w:val="en-US"/>
        </w:rPr>
        <w:t>Application deadlines 2025: 21.02., 30.05., 22.08., 24.10.</w:t>
      </w:r>
    </w:p>
    <w:p w14:paraId="4F3F1446" w14:textId="77777777" w:rsidR="00102997" w:rsidRPr="00942A69" w:rsidRDefault="00102997" w:rsidP="00ED53FC">
      <w:pPr>
        <w:pStyle w:val="Betreff"/>
        <w:spacing w:after="480"/>
        <w:rPr>
          <w:rFonts w:cstheme="majorHAnsi"/>
          <w:color w:val="004992" w:themeColor="accent1"/>
          <w:szCs w:val="22"/>
          <w:lang w:val="en-US"/>
        </w:rPr>
      </w:pPr>
    </w:p>
    <w:p w14:paraId="41F9A6CF" w14:textId="3E3E864F" w:rsidR="00102997" w:rsidRPr="00942A69" w:rsidRDefault="00102997" w:rsidP="00ED53FC">
      <w:pPr>
        <w:pStyle w:val="Betreff"/>
        <w:spacing w:after="480"/>
        <w:rPr>
          <w:rFonts w:cstheme="majorHAnsi"/>
          <w:b w:val="0"/>
          <w:color w:val="004992" w:themeColor="accent1"/>
          <w:sz w:val="24"/>
          <w:szCs w:val="22"/>
          <w:lang w:val="en-US"/>
        </w:rPr>
      </w:pPr>
      <w:r w:rsidRPr="00942A69">
        <w:rPr>
          <w:rFonts w:cstheme="majorHAnsi"/>
          <w:b w:val="0"/>
          <w:bCs/>
          <w:szCs w:val="22"/>
          <w:lang w:val="en-US"/>
        </w:rPr>
        <w:t xml:space="preserve">The aim of equal opportunities work is to increase the proportion of women completing their habilitation. The Faculty of </w:t>
      </w:r>
      <w:hyperlink r:id="rId8" w:history="1">
        <w:r w:rsidRPr="00942A69">
          <w:rPr>
            <w:rStyle w:val="Hyperlink"/>
            <w:rFonts w:cstheme="majorHAnsi"/>
            <w:szCs w:val="22"/>
            <w:lang w:val="en-US"/>
          </w:rPr>
          <w:t xml:space="preserve">Medicine's equality plan </w:t>
        </w:r>
      </w:hyperlink>
      <w:r w:rsidRPr="00942A69">
        <w:rPr>
          <w:rFonts w:cstheme="majorHAnsi"/>
          <w:b w:val="0"/>
          <w:szCs w:val="22"/>
          <w:lang w:val="en-US"/>
        </w:rPr>
        <w:t xml:space="preserve">therefore </w:t>
      </w:r>
      <w:r w:rsidRPr="00942A69">
        <w:rPr>
          <w:rFonts w:cstheme="majorHAnsi"/>
          <w:b w:val="0"/>
          <w:bCs/>
          <w:szCs w:val="22"/>
          <w:lang w:val="en-US"/>
        </w:rPr>
        <w:t xml:space="preserve">includes </w:t>
      </w:r>
      <w:r w:rsidRPr="00942A69">
        <w:rPr>
          <w:rFonts w:cstheme="majorHAnsi"/>
          <w:b w:val="0"/>
          <w:szCs w:val="22"/>
          <w:lang w:val="en-US"/>
        </w:rPr>
        <w:t xml:space="preserve">"Incentives for habilitation - bonus position after a woman has completed her habilitation" </w:t>
      </w:r>
      <w:r w:rsidRPr="00942A69">
        <w:rPr>
          <w:rFonts w:cstheme="majorHAnsi"/>
          <w:b w:val="0"/>
          <w:bCs/>
          <w:szCs w:val="22"/>
          <w:lang w:val="en-US"/>
        </w:rPr>
        <w:t xml:space="preserve">among the </w:t>
      </w:r>
      <w:r w:rsidRPr="00942A69">
        <w:rPr>
          <w:rFonts w:cstheme="majorHAnsi"/>
          <w:b w:val="0"/>
          <w:szCs w:val="22"/>
          <w:lang w:val="en-US"/>
        </w:rPr>
        <w:t xml:space="preserve">organizational support measures. This </w:t>
      </w:r>
      <w:r w:rsidR="005946F0" w:rsidRPr="00942A69">
        <w:rPr>
          <w:rFonts w:cstheme="majorHAnsi"/>
          <w:b w:val="0"/>
          <w:szCs w:val="22"/>
          <w:lang w:val="en-US"/>
        </w:rPr>
        <w:t>allows</w:t>
      </w:r>
      <w:r w:rsidRPr="00942A69">
        <w:rPr>
          <w:rFonts w:cstheme="majorHAnsi"/>
          <w:b w:val="0"/>
          <w:szCs w:val="22"/>
          <w:lang w:val="en-US"/>
        </w:rPr>
        <w:t xml:space="preserve"> clinics and institutes to apply for a bonus position if one of their employees has completed her habilitation. This bonus position must be filled by a young female scientist who, as part of the funding, is given the freedom to further her scientific development in order to also work towards a habilitation. </w:t>
      </w:r>
    </w:p>
    <w:p w14:paraId="218123D3" w14:textId="77777777" w:rsidR="00102997" w:rsidRPr="00942A69" w:rsidRDefault="00102997" w:rsidP="005946F0">
      <w:pPr>
        <w:pStyle w:val="Default"/>
        <w:rPr>
          <w:rFonts w:asciiTheme="majorHAnsi" w:hAnsiTheme="majorHAnsi" w:cstheme="majorHAnsi"/>
          <w:bCs/>
          <w:sz w:val="22"/>
          <w:szCs w:val="22"/>
          <w:lang w:val="en-US"/>
        </w:rPr>
      </w:pPr>
    </w:p>
    <w:p w14:paraId="72481A36" w14:textId="77777777" w:rsidR="00102997" w:rsidRPr="00942A69" w:rsidRDefault="00102997" w:rsidP="005946F0">
      <w:pPr>
        <w:pStyle w:val="Default"/>
        <w:numPr>
          <w:ilvl w:val="0"/>
          <w:numId w:val="11"/>
        </w:numPr>
        <w:rPr>
          <w:rFonts w:asciiTheme="majorHAnsi" w:hAnsiTheme="majorHAnsi" w:cstheme="majorHAnsi"/>
          <w:bCs/>
          <w:iCs/>
          <w:color w:val="333333" w:themeColor="text1"/>
          <w:sz w:val="22"/>
          <w:szCs w:val="22"/>
          <w:lang w:val="en-US"/>
        </w:rPr>
      </w:pPr>
      <w:r w:rsidRPr="00942A69">
        <w:rPr>
          <w:rFonts w:asciiTheme="majorHAnsi" w:hAnsiTheme="majorHAnsi" w:cstheme="majorHAnsi"/>
          <w:b/>
          <w:bCs/>
          <w:iCs/>
          <w:color w:val="333333" w:themeColor="text1"/>
          <w:sz w:val="22"/>
          <w:szCs w:val="22"/>
          <w:lang w:val="en-US"/>
        </w:rPr>
        <w:t>Purpose of the rebate center</w:t>
      </w:r>
      <w:r w:rsidRPr="00942A69">
        <w:rPr>
          <w:rFonts w:asciiTheme="majorHAnsi" w:hAnsiTheme="majorHAnsi" w:cstheme="majorHAnsi"/>
          <w:bCs/>
          <w:iCs/>
          <w:color w:val="333333" w:themeColor="text1"/>
          <w:sz w:val="22"/>
          <w:szCs w:val="22"/>
          <w:lang w:val="en-US"/>
        </w:rPr>
        <w:t xml:space="preserve">: </w:t>
      </w:r>
    </w:p>
    <w:p w14:paraId="53226B2C" w14:textId="77777777" w:rsidR="00102997" w:rsidRPr="00942A69" w:rsidRDefault="00102997" w:rsidP="005946F0">
      <w:pPr>
        <w:pStyle w:val="Default"/>
        <w:ind w:left="720"/>
        <w:rPr>
          <w:rFonts w:asciiTheme="majorHAnsi" w:hAnsiTheme="majorHAnsi" w:cstheme="majorHAnsi"/>
          <w:bCs/>
          <w:iCs/>
          <w:color w:val="333333" w:themeColor="text1"/>
          <w:sz w:val="22"/>
          <w:szCs w:val="22"/>
          <w:lang w:val="en-US"/>
        </w:rPr>
      </w:pPr>
      <w:r w:rsidRPr="00942A69">
        <w:rPr>
          <w:rFonts w:asciiTheme="majorHAnsi" w:hAnsiTheme="majorHAnsi" w:cstheme="majorHAnsi"/>
          <w:bCs/>
          <w:iCs/>
          <w:color w:val="333333" w:themeColor="text1"/>
          <w:sz w:val="22"/>
          <w:szCs w:val="22"/>
          <w:lang w:val="en-US"/>
        </w:rPr>
        <w:t>Scientific qualification of another junior researcher.</w:t>
      </w:r>
    </w:p>
    <w:p w14:paraId="6A7663DA" w14:textId="77777777" w:rsidR="00102997" w:rsidRPr="00942A69" w:rsidRDefault="00102997" w:rsidP="005946F0">
      <w:pPr>
        <w:pStyle w:val="Default"/>
        <w:ind w:left="720"/>
        <w:rPr>
          <w:rFonts w:asciiTheme="majorHAnsi" w:hAnsiTheme="majorHAnsi" w:cstheme="majorHAnsi"/>
          <w:bCs/>
          <w:iCs/>
          <w:color w:val="333333" w:themeColor="text1"/>
          <w:sz w:val="22"/>
          <w:szCs w:val="22"/>
          <w:lang w:val="en-US"/>
        </w:rPr>
      </w:pPr>
    </w:p>
    <w:p w14:paraId="5AE19F79" w14:textId="77777777" w:rsidR="00102997" w:rsidRPr="00942A69" w:rsidRDefault="00102997" w:rsidP="005946F0">
      <w:pPr>
        <w:pStyle w:val="Default"/>
        <w:numPr>
          <w:ilvl w:val="0"/>
          <w:numId w:val="11"/>
        </w:numPr>
        <w:rPr>
          <w:rFonts w:asciiTheme="majorHAnsi" w:hAnsiTheme="majorHAnsi" w:cstheme="majorHAnsi"/>
          <w:b/>
          <w:bCs/>
          <w:sz w:val="22"/>
          <w:szCs w:val="22"/>
          <w:lang w:val="en-US"/>
        </w:rPr>
      </w:pPr>
      <w:r w:rsidRPr="00942A69">
        <w:rPr>
          <w:rFonts w:asciiTheme="majorHAnsi" w:hAnsiTheme="majorHAnsi" w:cstheme="majorHAnsi"/>
          <w:b/>
          <w:bCs/>
          <w:sz w:val="22"/>
          <w:szCs w:val="22"/>
          <w:lang w:val="en-US"/>
        </w:rPr>
        <w:t>Target group</w:t>
      </w:r>
    </w:p>
    <w:p w14:paraId="1CAFD9C6" w14:textId="3CDF08B4" w:rsidR="00102997" w:rsidRPr="00942A69" w:rsidRDefault="00102997" w:rsidP="005946F0">
      <w:pPr>
        <w:pStyle w:val="Default"/>
        <w:ind w:left="709"/>
        <w:rPr>
          <w:rFonts w:asciiTheme="majorHAnsi" w:hAnsiTheme="majorHAnsi" w:cstheme="majorHAnsi"/>
          <w:sz w:val="22"/>
          <w:szCs w:val="22"/>
          <w:lang w:val="en-US"/>
        </w:rPr>
      </w:pPr>
      <w:r w:rsidRPr="00942A69">
        <w:rPr>
          <w:rFonts w:asciiTheme="majorHAnsi" w:hAnsiTheme="majorHAnsi" w:cstheme="majorHAnsi"/>
          <w:sz w:val="22"/>
          <w:szCs w:val="22"/>
          <w:lang w:val="en-US"/>
        </w:rPr>
        <w:t>Young female scientists who can prove that they have embarked on the path to habilitation. Please note that only young female scientists who belong to the core area of the UKE can be funded. Un</w:t>
      </w:r>
      <w:r w:rsidR="008F428E">
        <w:rPr>
          <w:rFonts w:asciiTheme="majorHAnsi" w:hAnsiTheme="majorHAnsi" w:cstheme="majorHAnsi"/>
          <w:sz w:val="22"/>
          <w:szCs w:val="22"/>
          <w:lang w:val="en-US"/>
        </w:rPr>
        <w:t>fortunately, clinics that primarily</w:t>
      </w:r>
      <w:r w:rsidRPr="00942A69">
        <w:rPr>
          <w:rFonts w:asciiTheme="majorHAnsi" w:hAnsiTheme="majorHAnsi" w:cstheme="majorHAnsi"/>
          <w:sz w:val="22"/>
          <w:szCs w:val="22"/>
          <w:lang w:val="en-US"/>
        </w:rPr>
        <w:t xml:space="preserve"> serve patient care and do not have a scientific focus (e.g. MVZ, Martiniklinik) cannot be considered</w:t>
      </w:r>
    </w:p>
    <w:p w14:paraId="21423B3A" w14:textId="77777777" w:rsidR="00102997" w:rsidRPr="00942A69" w:rsidRDefault="00102997" w:rsidP="005946F0">
      <w:pPr>
        <w:pStyle w:val="Default"/>
        <w:ind w:left="720"/>
        <w:rPr>
          <w:rFonts w:asciiTheme="majorHAnsi" w:hAnsiTheme="majorHAnsi" w:cstheme="majorHAnsi"/>
          <w:bCs/>
          <w:iCs/>
          <w:color w:val="333333" w:themeColor="text1"/>
          <w:sz w:val="22"/>
          <w:szCs w:val="22"/>
          <w:lang w:val="en-US"/>
        </w:rPr>
      </w:pPr>
    </w:p>
    <w:p w14:paraId="04E6DFB0" w14:textId="77777777" w:rsidR="00102997" w:rsidRPr="00942A69" w:rsidRDefault="00102997" w:rsidP="005946F0">
      <w:pPr>
        <w:pStyle w:val="Default"/>
        <w:numPr>
          <w:ilvl w:val="0"/>
          <w:numId w:val="11"/>
        </w:numPr>
        <w:rPr>
          <w:rFonts w:asciiTheme="majorHAnsi" w:hAnsiTheme="majorHAnsi" w:cstheme="majorHAnsi"/>
          <w:bCs/>
          <w:sz w:val="22"/>
          <w:szCs w:val="22"/>
          <w:lang w:val="en-US"/>
        </w:rPr>
      </w:pPr>
      <w:r w:rsidRPr="00942A69">
        <w:rPr>
          <w:rFonts w:asciiTheme="majorHAnsi" w:hAnsiTheme="majorHAnsi" w:cstheme="majorHAnsi"/>
          <w:b/>
          <w:bCs/>
          <w:sz w:val="22"/>
          <w:szCs w:val="22"/>
          <w:lang w:val="en-US"/>
        </w:rPr>
        <w:t xml:space="preserve">Application by: </w:t>
      </w:r>
      <w:r w:rsidRPr="00942A69">
        <w:rPr>
          <w:rFonts w:asciiTheme="majorHAnsi" w:hAnsiTheme="majorHAnsi" w:cstheme="majorHAnsi"/>
          <w:bCs/>
          <w:sz w:val="22"/>
          <w:szCs w:val="22"/>
          <w:lang w:val="en-US"/>
        </w:rPr>
        <w:tab/>
      </w:r>
    </w:p>
    <w:p w14:paraId="28201E95" w14:textId="163AE3C8" w:rsidR="00102997" w:rsidRPr="00942A69" w:rsidRDefault="00102997" w:rsidP="005946F0">
      <w:pPr>
        <w:pStyle w:val="Default"/>
        <w:ind w:left="720"/>
        <w:rPr>
          <w:rFonts w:asciiTheme="majorHAnsi" w:hAnsiTheme="majorHAnsi" w:cstheme="majorHAnsi"/>
          <w:bCs/>
          <w:sz w:val="22"/>
          <w:szCs w:val="22"/>
          <w:lang w:val="en-US"/>
        </w:rPr>
      </w:pPr>
      <w:r w:rsidRPr="00942A69">
        <w:rPr>
          <w:rFonts w:asciiTheme="majorHAnsi" w:hAnsiTheme="majorHAnsi" w:cstheme="majorHAnsi"/>
          <w:bCs/>
          <w:sz w:val="22"/>
          <w:szCs w:val="22"/>
          <w:lang w:val="en-US"/>
        </w:rPr>
        <w:t xml:space="preserve">The clinic or institute management </w:t>
      </w:r>
      <w:r w:rsidR="005946F0" w:rsidRPr="00942A69">
        <w:rPr>
          <w:rFonts w:asciiTheme="majorHAnsi" w:hAnsiTheme="majorHAnsi" w:cstheme="majorHAnsi"/>
          <w:bCs/>
          <w:sz w:val="22"/>
          <w:szCs w:val="22"/>
          <w:lang w:val="en-US"/>
        </w:rPr>
        <w:t>applies</w:t>
      </w:r>
      <w:r w:rsidRPr="00942A69">
        <w:rPr>
          <w:rFonts w:asciiTheme="majorHAnsi" w:hAnsiTheme="majorHAnsi" w:cstheme="majorHAnsi"/>
          <w:bCs/>
          <w:sz w:val="22"/>
          <w:szCs w:val="22"/>
          <w:lang w:val="en-US"/>
        </w:rPr>
        <w:t xml:space="preserve"> to the Equal Opportunities Department</w:t>
      </w:r>
      <w:r w:rsidR="005946F0" w:rsidRPr="00942A69">
        <w:rPr>
          <w:rFonts w:asciiTheme="majorHAnsi" w:hAnsiTheme="majorHAnsi" w:cstheme="majorHAnsi"/>
          <w:bCs/>
          <w:sz w:val="22"/>
          <w:szCs w:val="22"/>
          <w:lang w:val="en-US"/>
        </w:rPr>
        <w:t xml:space="preserve"> </w:t>
      </w:r>
      <w:hyperlink r:id="rId9" w:history="1">
        <w:r w:rsidR="005946F0" w:rsidRPr="00942A69">
          <w:rPr>
            <w:rStyle w:val="Hyperlink"/>
            <w:rFonts w:asciiTheme="majorHAnsi" w:hAnsiTheme="majorHAnsi" w:cstheme="majorHAnsi"/>
            <w:sz w:val="22"/>
            <w:szCs w:val="22"/>
            <w:lang w:val="en-US"/>
          </w:rPr>
          <w:t>gleichstellung@uke.de</w:t>
        </w:r>
      </w:hyperlink>
      <w:r w:rsidRPr="00942A69">
        <w:rPr>
          <w:rFonts w:asciiTheme="majorHAnsi" w:hAnsiTheme="majorHAnsi" w:cstheme="majorHAnsi"/>
          <w:bCs/>
          <w:sz w:val="22"/>
          <w:szCs w:val="22"/>
          <w:lang w:val="en-US"/>
        </w:rPr>
        <w:t xml:space="preserve"> using the application form (see homepage).</w:t>
      </w:r>
    </w:p>
    <w:p w14:paraId="73420415" w14:textId="77777777" w:rsidR="00102997" w:rsidRPr="00942A69" w:rsidRDefault="00102997" w:rsidP="005946F0">
      <w:pPr>
        <w:pStyle w:val="Default"/>
        <w:ind w:left="720"/>
        <w:rPr>
          <w:rFonts w:asciiTheme="majorHAnsi" w:hAnsiTheme="majorHAnsi" w:cstheme="majorHAnsi"/>
          <w:bCs/>
          <w:sz w:val="22"/>
          <w:szCs w:val="22"/>
          <w:lang w:val="en-US"/>
        </w:rPr>
      </w:pPr>
    </w:p>
    <w:p w14:paraId="46A37E2F" w14:textId="77777777" w:rsidR="00102997" w:rsidRPr="00942A69" w:rsidRDefault="00102997" w:rsidP="005946F0">
      <w:pPr>
        <w:pStyle w:val="Default"/>
        <w:numPr>
          <w:ilvl w:val="0"/>
          <w:numId w:val="11"/>
        </w:numPr>
        <w:rPr>
          <w:rFonts w:asciiTheme="majorHAnsi" w:hAnsiTheme="majorHAnsi" w:cstheme="majorHAnsi"/>
          <w:b/>
          <w:bCs/>
          <w:iCs/>
          <w:color w:val="333333" w:themeColor="text1"/>
          <w:sz w:val="22"/>
          <w:szCs w:val="22"/>
          <w:lang w:val="en-US"/>
        </w:rPr>
      </w:pPr>
      <w:r w:rsidRPr="00942A69">
        <w:rPr>
          <w:rFonts w:asciiTheme="majorHAnsi" w:hAnsiTheme="majorHAnsi" w:cstheme="majorHAnsi"/>
          <w:b/>
          <w:bCs/>
          <w:iCs/>
          <w:color w:val="333333" w:themeColor="text1"/>
          <w:sz w:val="22"/>
          <w:szCs w:val="22"/>
          <w:lang w:val="en-US"/>
        </w:rPr>
        <w:t xml:space="preserve">Requirements for application. </w:t>
      </w:r>
    </w:p>
    <w:p w14:paraId="092CA1C7" w14:textId="3327B4F6"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A</w:t>
      </w:r>
      <w:r w:rsidR="008F428E">
        <w:rPr>
          <w:rFonts w:asciiTheme="majorHAnsi" w:hAnsiTheme="majorHAnsi" w:cstheme="majorHAnsi"/>
          <w:sz w:val="22"/>
          <w:szCs w:val="22"/>
          <w:lang w:val="en-US"/>
        </w:rPr>
        <w:t xml:space="preserve"> scientist must have completed her habilitation</w:t>
      </w:r>
      <w:r w:rsidRPr="00942A69">
        <w:rPr>
          <w:rFonts w:asciiTheme="majorHAnsi" w:hAnsiTheme="majorHAnsi" w:cstheme="majorHAnsi"/>
          <w:sz w:val="22"/>
          <w:szCs w:val="22"/>
          <w:lang w:val="en-US"/>
        </w:rPr>
        <w:t xml:space="preserve"> at the respective clinic or institute within the last 6 months </w:t>
      </w:r>
    </w:p>
    <w:p w14:paraId="1046F476" w14:textId="60A02AB7"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 xml:space="preserve">The young scientist to be funded in the future must not </w:t>
      </w:r>
      <w:r w:rsidR="008F428E">
        <w:rPr>
          <w:rFonts w:asciiTheme="majorHAnsi" w:hAnsiTheme="majorHAnsi" w:cstheme="majorHAnsi"/>
          <w:sz w:val="22"/>
          <w:szCs w:val="22"/>
          <w:lang w:val="en-US"/>
        </w:rPr>
        <w:t xml:space="preserve">currently </w:t>
      </w:r>
      <w:r w:rsidRPr="00942A69">
        <w:rPr>
          <w:rFonts w:asciiTheme="majorHAnsi" w:hAnsiTheme="majorHAnsi" w:cstheme="majorHAnsi"/>
          <w:sz w:val="22"/>
          <w:szCs w:val="22"/>
          <w:lang w:val="en-US"/>
        </w:rPr>
        <w:t xml:space="preserve">be financed by the Faculty of Medicine's research promotion fund. </w:t>
      </w:r>
    </w:p>
    <w:p w14:paraId="0D1D09F1" w14:textId="77777777"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The funding period for the junior researcher's funded position must begin no later than 6 months after the grant is awarded.</w:t>
      </w:r>
    </w:p>
    <w:p w14:paraId="2E13296F" w14:textId="77777777"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As a rule, budget-financed young female scientists are funded</w:t>
      </w:r>
    </w:p>
    <w:p w14:paraId="30295AB8" w14:textId="718AABC4"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 xml:space="preserve">Young female scientists who are employed </w:t>
      </w:r>
      <w:r w:rsidR="005946F0" w:rsidRPr="00942A69">
        <w:rPr>
          <w:rFonts w:asciiTheme="majorHAnsi" w:hAnsiTheme="majorHAnsi" w:cstheme="majorHAnsi"/>
          <w:sz w:val="22"/>
          <w:szCs w:val="22"/>
          <w:lang w:val="en-US"/>
        </w:rPr>
        <w:t>based on</w:t>
      </w:r>
      <w:r w:rsidRPr="00942A69">
        <w:rPr>
          <w:rFonts w:asciiTheme="majorHAnsi" w:hAnsiTheme="majorHAnsi" w:cstheme="majorHAnsi"/>
          <w:sz w:val="22"/>
          <w:szCs w:val="22"/>
          <w:lang w:val="en-US"/>
        </w:rPr>
        <w:t xml:space="preserve"> third-party funding can be funded to increase their respective position. It must be proven that the scientist is using the funding to advance her habilitation. This means that the research carried out during the funding period must go beyond the purely externally funded project and contribute to the scientist's habilitation. </w:t>
      </w:r>
    </w:p>
    <w:p w14:paraId="3D8A250D" w14:textId="77777777" w:rsidR="00102997" w:rsidRPr="00942A69" w:rsidRDefault="00102997" w:rsidP="005946F0">
      <w:pPr>
        <w:pStyle w:val="Default"/>
        <w:numPr>
          <w:ilvl w:val="0"/>
          <w:numId w:val="13"/>
        </w:numPr>
        <w:rPr>
          <w:rFonts w:asciiTheme="majorHAnsi" w:hAnsiTheme="majorHAnsi" w:cstheme="majorHAnsi"/>
          <w:sz w:val="22"/>
          <w:szCs w:val="22"/>
          <w:lang w:val="en-US"/>
        </w:rPr>
      </w:pPr>
      <w:r w:rsidRPr="00942A69">
        <w:rPr>
          <w:rFonts w:asciiTheme="majorHAnsi" w:hAnsiTheme="majorHAnsi" w:cstheme="majorHAnsi"/>
          <w:sz w:val="22"/>
          <w:szCs w:val="22"/>
          <w:lang w:val="en-US"/>
        </w:rPr>
        <w:t xml:space="preserve">The employment contract of the person to be funded must run at least until the end of the funding period. </w:t>
      </w:r>
    </w:p>
    <w:p w14:paraId="77BC4640" w14:textId="77777777" w:rsidR="00102997" w:rsidRPr="00942A69" w:rsidRDefault="00102997" w:rsidP="00397624">
      <w:pPr>
        <w:pStyle w:val="Default"/>
        <w:ind w:left="1069"/>
        <w:jc w:val="both"/>
        <w:rPr>
          <w:rFonts w:asciiTheme="majorHAnsi" w:hAnsiTheme="majorHAnsi" w:cstheme="majorHAnsi"/>
          <w:sz w:val="22"/>
          <w:szCs w:val="22"/>
          <w:lang w:val="en-US"/>
        </w:rPr>
      </w:pPr>
    </w:p>
    <w:p w14:paraId="0CDFFFFC" w14:textId="77777777" w:rsidR="00102997" w:rsidRPr="00942A69" w:rsidRDefault="00102997" w:rsidP="00102997">
      <w:pPr>
        <w:pStyle w:val="Default"/>
        <w:numPr>
          <w:ilvl w:val="0"/>
          <w:numId w:val="11"/>
        </w:numPr>
        <w:jc w:val="both"/>
        <w:rPr>
          <w:rFonts w:asciiTheme="majorHAnsi" w:hAnsiTheme="majorHAnsi" w:cstheme="majorHAnsi"/>
          <w:sz w:val="22"/>
          <w:szCs w:val="22"/>
          <w:lang w:val="en-US"/>
        </w:rPr>
      </w:pPr>
      <w:r w:rsidRPr="00942A69">
        <w:rPr>
          <w:rFonts w:asciiTheme="majorHAnsi" w:hAnsiTheme="majorHAnsi" w:cstheme="majorHAnsi"/>
          <w:b/>
          <w:bCs/>
          <w:sz w:val="22"/>
          <w:szCs w:val="22"/>
          <w:lang w:val="en-US"/>
        </w:rPr>
        <w:t xml:space="preserve">Application procedure </w:t>
      </w:r>
    </w:p>
    <w:p w14:paraId="086C2E42" w14:textId="77777777" w:rsidR="00102997" w:rsidRPr="00942A69" w:rsidRDefault="00102997" w:rsidP="00397624">
      <w:pPr>
        <w:pStyle w:val="Default"/>
        <w:ind w:left="720"/>
        <w:jc w:val="both"/>
        <w:rPr>
          <w:rFonts w:asciiTheme="majorHAnsi" w:hAnsiTheme="majorHAnsi" w:cstheme="majorHAnsi"/>
          <w:sz w:val="22"/>
          <w:szCs w:val="22"/>
          <w:lang w:val="en-US"/>
        </w:rPr>
      </w:pPr>
    </w:p>
    <w:p w14:paraId="393746EF" w14:textId="77777777" w:rsidR="00102997" w:rsidRPr="00942A69" w:rsidRDefault="00102997" w:rsidP="009563FF">
      <w:pPr>
        <w:pStyle w:val="Default"/>
        <w:ind w:firstLine="709"/>
        <w:jc w:val="both"/>
        <w:rPr>
          <w:rFonts w:asciiTheme="majorHAnsi" w:hAnsiTheme="majorHAnsi" w:cstheme="majorHAnsi"/>
          <w:sz w:val="22"/>
          <w:szCs w:val="22"/>
          <w:lang w:val="en-US"/>
        </w:rPr>
      </w:pPr>
      <w:r w:rsidRPr="00942A69">
        <w:rPr>
          <w:rFonts w:asciiTheme="majorHAnsi" w:hAnsiTheme="majorHAnsi" w:cstheme="majorHAnsi"/>
          <w:sz w:val="22"/>
          <w:szCs w:val="22"/>
          <w:lang w:val="en-US"/>
        </w:rPr>
        <w:t xml:space="preserve">The </w:t>
      </w:r>
      <w:r w:rsidRPr="00942A69">
        <w:rPr>
          <w:rFonts w:asciiTheme="majorHAnsi" w:hAnsiTheme="majorHAnsi" w:cstheme="majorHAnsi"/>
          <w:bCs/>
          <w:sz w:val="22"/>
          <w:szCs w:val="22"/>
          <w:lang w:val="en-US"/>
        </w:rPr>
        <w:t xml:space="preserve">management </w:t>
      </w:r>
      <w:r w:rsidRPr="00942A69">
        <w:rPr>
          <w:rFonts w:asciiTheme="majorHAnsi" w:hAnsiTheme="majorHAnsi" w:cstheme="majorHAnsi"/>
          <w:b/>
          <w:bCs/>
          <w:sz w:val="22"/>
          <w:szCs w:val="22"/>
          <w:lang w:val="en-US"/>
        </w:rPr>
        <w:t xml:space="preserve">application </w:t>
      </w:r>
      <w:r w:rsidRPr="00942A69">
        <w:rPr>
          <w:rFonts w:asciiTheme="majorHAnsi" w:hAnsiTheme="majorHAnsi" w:cstheme="majorHAnsi"/>
          <w:sz w:val="22"/>
          <w:szCs w:val="22"/>
          <w:lang w:val="en-US"/>
        </w:rPr>
        <w:t xml:space="preserve">must contain the following: </w:t>
      </w:r>
    </w:p>
    <w:p w14:paraId="18A91811" w14:textId="77777777" w:rsidR="00102997" w:rsidRPr="00942A69" w:rsidRDefault="00102997" w:rsidP="00102997">
      <w:pPr>
        <w:pStyle w:val="Default"/>
        <w:numPr>
          <w:ilvl w:val="0"/>
          <w:numId w:val="14"/>
        </w:numPr>
        <w:jc w:val="both"/>
        <w:rPr>
          <w:rFonts w:asciiTheme="majorHAnsi" w:hAnsiTheme="majorHAnsi" w:cstheme="majorHAnsi"/>
          <w:sz w:val="22"/>
          <w:szCs w:val="22"/>
          <w:lang w:val="en-US"/>
        </w:rPr>
      </w:pPr>
      <w:r w:rsidRPr="00942A69">
        <w:rPr>
          <w:rFonts w:asciiTheme="majorHAnsi" w:hAnsiTheme="majorHAnsi" w:cstheme="majorHAnsi"/>
          <w:b/>
          <w:sz w:val="22"/>
          <w:szCs w:val="22"/>
          <w:lang w:val="en-US"/>
        </w:rPr>
        <w:t xml:space="preserve">Completed application form </w:t>
      </w:r>
      <w:r w:rsidRPr="00942A69">
        <w:rPr>
          <w:rFonts w:asciiTheme="majorHAnsi" w:hAnsiTheme="majorHAnsi" w:cstheme="majorHAnsi"/>
          <w:sz w:val="22"/>
          <w:szCs w:val="22"/>
          <w:lang w:val="en-US"/>
        </w:rPr>
        <w:t xml:space="preserve">(see homepage) with the following information: </w:t>
      </w:r>
    </w:p>
    <w:p w14:paraId="2A0D0477" w14:textId="17E67CAE" w:rsidR="00102997" w:rsidRPr="00942A69" w:rsidRDefault="00102997" w:rsidP="00102997">
      <w:pPr>
        <w:pStyle w:val="Default"/>
        <w:numPr>
          <w:ilvl w:val="1"/>
          <w:numId w:val="7"/>
        </w:numPr>
        <w:jc w:val="both"/>
        <w:rPr>
          <w:rFonts w:asciiTheme="majorHAnsi" w:hAnsiTheme="majorHAnsi" w:cstheme="majorHAnsi"/>
          <w:sz w:val="22"/>
          <w:szCs w:val="22"/>
          <w:lang w:val="en-US"/>
        </w:rPr>
      </w:pPr>
      <w:r w:rsidRPr="00942A69">
        <w:rPr>
          <w:rFonts w:asciiTheme="majorHAnsi" w:hAnsiTheme="majorHAnsi" w:cstheme="majorHAnsi"/>
          <w:sz w:val="22"/>
          <w:szCs w:val="22"/>
          <w:lang w:val="en-US"/>
        </w:rPr>
        <w:lastRenderedPageBreak/>
        <w:t>A</w:t>
      </w:r>
      <w:r w:rsidR="008F428E">
        <w:rPr>
          <w:rFonts w:asciiTheme="majorHAnsi" w:hAnsiTheme="majorHAnsi" w:cstheme="majorHAnsi"/>
          <w:sz w:val="22"/>
          <w:szCs w:val="22"/>
          <w:lang w:val="en-US"/>
        </w:rPr>
        <w:t>n overview and evaluation</w:t>
      </w:r>
      <w:r w:rsidRPr="00942A69">
        <w:rPr>
          <w:rFonts w:asciiTheme="majorHAnsi" w:hAnsiTheme="majorHAnsi" w:cstheme="majorHAnsi"/>
          <w:sz w:val="22"/>
          <w:szCs w:val="22"/>
          <w:lang w:val="en-US"/>
        </w:rPr>
        <w:t xml:space="preserve"> of the scientific potential of the young researchers proposed for funding by the applicant </w:t>
      </w:r>
      <w:r w:rsidR="005946F0" w:rsidRPr="00942A69">
        <w:rPr>
          <w:rFonts w:asciiTheme="majorHAnsi" w:hAnsiTheme="majorHAnsi" w:cstheme="majorHAnsi"/>
          <w:sz w:val="22"/>
          <w:szCs w:val="22"/>
          <w:lang w:val="en-US"/>
        </w:rPr>
        <w:t>regarding</w:t>
      </w:r>
      <w:r w:rsidRPr="00942A69">
        <w:rPr>
          <w:rFonts w:asciiTheme="majorHAnsi" w:hAnsiTheme="majorHAnsi" w:cstheme="majorHAnsi"/>
          <w:sz w:val="22"/>
          <w:szCs w:val="22"/>
          <w:lang w:val="en-US"/>
        </w:rPr>
        <w:t xml:space="preserve"> their current research and teaching activities and associated successes</w:t>
      </w:r>
    </w:p>
    <w:p w14:paraId="50711D39" w14:textId="5152BC8C" w:rsidR="00102997" w:rsidRPr="00942A69" w:rsidRDefault="00102997" w:rsidP="00102997">
      <w:pPr>
        <w:pStyle w:val="Default"/>
        <w:numPr>
          <w:ilvl w:val="1"/>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A concrete funding and qualification plan for the junior researcher to be funded, in</w:t>
      </w:r>
      <w:r w:rsidR="008F428E">
        <w:rPr>
          <w:rFonts w:asciiTheme="majorHAnsi" w:hAnsiTheme="majorHAnsi" w:cstheme="majorHAnsi"/>
          <w:bCs/>
          <w:sz w:val="22"/>
          <w:szCs w:val="22"/>
          <w:lang w:val="en-US"/>
        </w:rPr>
        <w:t>cluding a description of career</w:t>
      </w:r>
      <w:r w:rsidRPr="00942A69">
        <w:rPr>
          <w:rFonts w:asciiTheme="majorHAnsi" w:hAnsiTheme="majorHAnsi" w:cstheme="majorHAnsi"/>
          <w:bCs/>
          <w:sz w:val="22"/>
          <w:szCs w:val="22"/>
          <w:lang w:val="en-US"/>
        </w:rPr>
        <w:t xml:space="preserve"> prospects for the employee in the applicant clinic/institute after the end of the funding period. </w:t>
      </w:r>
    </w:p>
    <w:p w14:paraId="1E7B054D" w14:textId="188F37C1" w:rsidR="00102997" w:rsidRPr="00942A69" w:rsidRDefault="008F428E" w:rsidP="00102997">
      <w:pPr>
        <w:pStyle w:val="Default"/>
        <w:numPr>
          <w:ilvl w:val="1"/>
          <w:numId w:val="7"/>
        </w:numPr>
        <w:jc w:val="both"/>
        <w:rPr>
          <w:rFonts w:asciiTheme="majorHAnsi" w:hAnsiTheme="majorHAnsi" w:cstheme="majorHAnsi"/>
          <w:sz w:val="22"/>
          <w:szCs w:val="22"/>
          <w:lang w:val="en-US"/>
        </w:rPr>
      </w:pPr>
      <w:r>
        <w:rPr>
          <w:rFonts w:asciiTheme="majorHAnsi" w:hAnsiTheme="majorHAnsi" w:cstheme="majorHAnsi"/>
          <w:bCs/>
          <w:sz w:val="22"/>
          <w:szCs w:val="22"/>
          <w:lang w:val="en-US"/>
        </w:rPr>
        <w:t>A clear outline</w:t>
      </w:r>
      <w:r w:rsidR="00102997" w:rsidRPr="00942A69">
        <w:rPr>
          <w:rFonts w:asciiTheme="majorHAnsi" w:hAnsiTheme="majorHAnsi" w:cstheme="majorHAnsi"/>
          <w:bCs/>
          <w:sz w:val="22"/>
          <w:szCs w:val="22"/>
          <w:lang w:val="en-US"/>
        </w:rPr>
        <w:t xml:space="preserve"> of the planned steps on the path to habilitation (milestones) during the funding period and explanation of the overarching research focus by the junior researcher to be funded.</w:t>
      </w:r>
    </w:p>
    <w:p w14:paraId="70871C88" w14:textId="77777777" w:rsidR="00102997" w:rsidRPr="00942A69" w:rsidRDefault="00102997" w:rsidP="00102997">
      <w:pPr>
        <w:pStyle w:val="Default"/>
        <w:numPr>
          <w:ilvl w:val="1"/>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 xml:space="preserve">An equal opportunities concept of the applying clinic/institute containing the following information: </w:t>
      </w:r>
    </w:p>
    <w:p w14:paraId="0A5E8B24" w14:textId="77777777" w:rsidR="00102997" w:rsidRPr="00942A69" w:rsidRDefault="00102997" w:rsidP="00102997">
      <w:pPr>
        <w:pStyle w:val="Default"/>
        <w:numPr>
          <w:ilvl w:val="2"/>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Gender distribution at the various career levels of academic staff</w:t>
      </w:r>
    </w:p>
    <w:p w14:paraId="680C8F9C" w14:textId="5BC508A5" w:rsidR="00102997" w:rsidRPr="00942A69" w:rsidRDefault="00102997" w:rsidP="00102997">
      <w:pPr>
        <w:pStyle w:val="Default"/>
        <w:numPr>
          <w:ilvl w:val="2"/>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Gender di</w:t>
      </w:r>
      <w:r w:rsidR="008F428E">
        <w:rPr>
          <w:rFonts w:asciiTheme="majorHAnsi" w:hAnsiTheme="majorHAnsi" w:cstheme="majorHAnsi"/>
          <w:bCs/>
          <w:sz w:val="22"/>
          <w:szCs w:val="22"/>
          <w:lang w:val="en-US"/>
        </w:rPr>
        <w:t xml:space="preserve">stribution of habilitations </w:t>
      </w:r>
      <w:r w:rsidRPr="00942A69">
        <w:rPr>
          <w:rFonts w:asciiTheme="majorHAnsi" w:hAnsiTheme="majorHAnsi" w:cstheme="majorHAnsi"/>
          <w:bCs/>
          <w:sz w:val="22"/>
          <w:szCs w:val="22"/>
          <w:lang w:val="en-US"/>
        </w:rPr>
        <w:t>in the last 5 years</w:t>
      </w:r>
    </w:p>
    <w:p w14:paraId="44EE41F7" w14:textId="37ECE962" w:rsidR="00102997" w:rsidRPr="00942A69" w:rsidRDefault="005946F0" w:rsidP="00102997">
      <w:pPr>
        <w:pStyle w:val="Default"/>
        <w:numPr>
          <w:ilvl w:val="2"/>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Regarding</w:t>
      </w:r>
      <w:r w:rsidR="00102997" w:rsidRPr="00942A69">
        <w:rPr>
          <w:rFonts w:asciiTheme="majorHAnsi" w:hAnsiTheme="majorHAnsi" w:cstheme="majorHAnsi"/>
          <w:bCs/>
          <w:sz w:val="22"/>
          <w:szCs w:val="22"/>
          <w:lang w:val="en-US"/>
        </w:rPr>
        <w:t xml:space="preserve"> women who have habilitated in the last 5 years: A brief description of the extent to which </w:t>
      </w:r>
      <w:r w:rsidR="00102997" w:rsidRPr="00942A69">
        <w:rPr>
          <w:rFonts w:asciiTheme="majorHAnsi" w:hAnsiTheme="majorHAnsi" w:cstheme="majorHAnsi"/>
          <w:sz w:val="22"/>
          <w:szCs w:val="22"/>
          <w:lang w:val="en-US"/>
        </w:rPr>
        <w:t>these women scientists have received further support beyond their habilitation and what career path they have subsequently taken.</w:t>
      </w:r>
    </w:p>
    <w:p w14:paraId="036588F6" w14:textId="30E984EC" w:rsidR="00102997" w:rsidRPr="00942A69" w:rsidRDefault="00102997" w:rsidP="00102997">
      <w:pPr>
        <w:pStyle w:val="Default"/>
        <w:numPr>
          <w:ilvl w:val="2"/>
          <w:numId w:val="7"/>
        </w:numPr>
        <w:jc w:val="both"/>
        <w:rPr>
          <w:rFonts w:asciiTheme="majorHAnsi" w:hAnsiTheme="majorHAnsi" w:cstheme="majorHAnsi"/>
          <w:sz w:val="22"/>
          <w:szCs w:val="22"/>
          <w:lang w:val="en-US"/>
        </w:rPr>
      </w:pPr>
      <w:r w:rsidRPr="00942A69">
        <w:rPr>
          <w:rFonts w:asciiTheme="majorHAnsi" w:hAnsiTheme="majorHAnsi" w:cstheme="majorHAnsi"/>
          <w:bCs/>
          <w:sz w:val="22"/>
          <w:szCs w:val="22"/>
          <w:lang w:val="en-US"/>
        </w:rPr>
        <w:t>If there is a significant underrepresentation of women (especially at higher career levels): Measures taken or planned by the clinic/institute to work towards a balanced gender ratio</w:t>
      </w:r>
      <w:r w:rsidR="008F428E">
        <w:rPr>
          <w:rFonts w:asciiTheme="majorHAnsi" w:hAnsiTheme="majorHAnsi" w:cstheme="majorHAnsi"/>
          <w:bCs/>
          <w:sz w:val="22"/>
          <w:szCs w:val="22"/>
          <w:lang w:val="en-US"/>
        </w:rPr>
        <w:t>.</w:t>
      </w:r>
    </w:p>
    <w:p w14:paraId="6943EBE1" w14:textId="77777777" w:rsidR="00102997" w:rsidRPr="00942A69" w:rsidRDefault="00102997" w:rsidP="009563FF">
      <w:pPr>
        <w:pStyle w:val="Default"/>
        <w:ind w:left="1429"/>
        <w:jc w:val="both"/>
        <w:rPr>
          <w:rFonts w:asciiTheme="majorHAnsi" w:hAnsiTheme="majorHAnsi" w:cstheme="majorHAnsi"/>
          <w:sz w:val="22"/>
          <w:szCs w:val="22"/>
          <w:lang w:val="en-US"/>
        </w:rPr>
      </w:pPr>
    </w:p>
    <w:p w14:paraId="6DBCFE83" w14:textId="77777777" w:rsidR="00102997" w:rsidRPr="00942A69" w:rsidRDefault="00102997" w:rsidP="00102997">
      <w:pPr>
        <w:pStyle w:val="Default"/>
        <w:numPr>
          <w:ilvl w:val="0"/>
          <w:numId w:val="14"/>
        </w:numPr>
        <w:jc w:val="both"/>
        <w:rPr>
          <w:rFonts w:asciiTheme="majorHAnsi" w:hAnsiTheme="majorHAnsi" w:cstheme="majorHAnsi"/>
          <w:b/>
          <w:sz w:val="22"/>
          <w:szCs w:val="22"/>
          <w:lang w:val="en-US"/>
        </w:rPr>
      </w:pPr>
      <w:r w:rsidRPr="00942A69">
        <w:rPr>
          <w:rFonts w:asciiTheme="majorHAnsi" w:hAnsiTheme="majorHAnsi" w:cstheme="majorHAnsi"/>
          <w:b/>
          <w:sz w:val="22"/>
          <w:szCs w:val="22"/>
          <w:lang w:val="en-US"/>
        </w:rPr>
        <w:t>List of publications, third-party funding and teaching achievements (see homepage)</w:t>
      </w:r>
    </w:p>
    <w:p w14:paraId="067CD763" w14:textId="77777777" w:rsidR="00102997" w:rsidRPr="00942A69" w:rsidRDefault="00102997" w:rsidP="00102997">
      <w:pPr>
        <w:pStyle w:val="Default"/>
        <w:numPr>
          <w:ilvl w:val="0"/>
          <w:numId w:val="14"/>
        </w:numPr>
        <w:jc w:val="both"/>
        <w:rPr>
          <w:rFonts w:asciiTheme="majorHAnsi" w:hAnsiTheme="majorHAnsi" w:cstheme="majorHAnsi"/>
          <w:b/>
          <w:sz w:val="22"/>
          <w:szCs w:val="22"/>
          <w:lang w:val="en-US"/>
        </w:rPr>
      </w:pPr>
      <w:r w:rsidRPr="00942A69">
        <w:rPr>
          <w:rFonts w:asciiTheme="majorHAnsi" w:hAnsiTheme="majorHAnsi" w:cstheme="majorHAnsi"/>
          <w:b/>
          <w:sz w:val="22"/>
          <w:szCs w:val="22"/>
          <w:lang w:val="en-US"/>
        </w:rPr>
        <w:t xml:space="preserve">Curriculum vitae of the junior researcher (incl. information on diversity dimensions) </w:t>
      </w:r>
    </w:p>
    <w:p w14:paraId="7E5FA4BD" w14:textId="77777777" w:rsidR="00102997" w:rsidRPr="00942A69" w:rsidRDefault="00102997" w:rsidP="00EF42C7">
      <w:pPr>
        <w:pStyle w:val="Default"/>
        <w:ind w:left="1429"/>
        <w:jc w:val="both"/>
        <w:rPr>
          <w:rFonts w:asciiTheme="majorHAnsi" w:hAnsiTheme="majorHAnsi" w:cstheme="majorHAnsi"/>
          <w:b/>
          <w:color w:val="00B050"/>
          <w:sz w:val="22"/>
          <w:szCs w:val="22"/>
          <w:lang w:val="en-US"/>
        </w:rPr>
      </w:pPr>
    </w:p>
    <w:p w14:paraId="363FD435" w14:textId="77777777" w:rsidR="00102997" w:rsidRPr="00942A69" w:rsidRDefault="00102997" w:rsidP="00102997">
      <w:pPr>
        <w:pStyle w:val="Default"/>
        <w:numPr>
          <w:ilvl w:val="0"/>
          <w:numId w:val="11"/>
        </w:numPr>
        <w:jc w:val="both"/>
        <w:rPr>
          <w:rFonts w:asciiTheme="majorHAnsi" w:hAnsiTheme="majorHAnsi" w:cstheme="majorHAnsi"/>
          <w:b/>
          <w:bCs/>
          <w:sz w:val="22"/>
          <w:szCs w:val="22"/>
          <w:lang w:val="en-US"/>
        </w:rPr>
      </w:pPr>
      <w:r w:rsidRPr="00942A69">
        <w:rPr>
          <w:rFonts w:asciiTheme="majorHAnsi" w:hAnsiTheme="majorHAnsi" w:cstheme="majorHAnsi"/>
          <w:b/>
          <w:bCs/>
          <w:sz w:val="22"/>
          <w:szCs w:val="22"/>
          <w:lang w:val="en-US"/>
        </w:rPr>
        <w:t>Evaluation criteria</w:t>
      </w:r>
    </w:p>
    <w:p w14:paraId="49BCBE29" w14:textId="1E6049C6" w:rsidR="00102997" w:rsidRPr="00942A69" w:rsidRDefault="00A64565" w:rsidP="007A078A">
      <w:pPr>
        <w:pStyle w:val="Default"/>
        <w:ind w:firstLine="709"/>
        <w:jc w:val="both"/>
        <w:rPr>
          <w:rFonts w:asciiTheme="majorHAnsi" w:hAnsiTheme="majorHAnsi" w:cstheme="majorHAnsi"/>
          <w:bCs/>
          <w:sz w:val="22"/>
          <w:szCs w:val="22"/>
          <w:lang w:val="en-US"/>
        </w:rPr>
      </w:pPr>
      <w:r>
        <w:rPr>
          <w:rFonts w:asciiTheme="majorHAnsi" w:hAnsiTheme="majorHAnsi" w:cstheme="majorHAnsi"/>
          <w:bCs/>
          <w:sz w:val="22"/>
          <w:szCs w:val="22"/>
          <w:lang w:val="en-US"/>
        </w:rPr>
        <w:t>Applications will be evaluated</w:t>
      </w:r>
      <w:r w:rsidR="00102997" w:rsidRPr="00942A69">
        <w:rPr>
          <w:rFonts w:asciiTheme="majorHAnsi" w:hAnsiTheme="majorHAnsi" w:cstheme="majorHAnsi"/>
          <w:bCs/>
          <w:sz w:val="22"/>
          <w:szCs w:val="22"/>
          <w:lang w:val="en-US"/>
        </w:rPr>
        <w:t xml:space="preserve"> </w:t>
      </w:r>
      <w:r w:rsidR="005946F0" w:rsidRPr="00942A69">
        <w:rPr>
          <w:rFonts w:asciiTheme="majorHAnsi" w:hAnsiTheme="majorHAnsi" w:cstheme="majorHAnsi"/>
          <w:bCs/>
          <w:sz w:val="22"/>
          <w:szCs w:val="22"/>
          <w:lang w:val="en-US"/>
        </w:rPr>
        <w:t>based on</w:t>
      </w:r>
      <w:r w:rsidR="00102997" w:rsidRPr="00942A69">
        <w:rPr>
          <w:rFonts w:asciiTheme="majorHAnsi" w:hAnsiTheme="majorHAnsi" w:cstheme="majorHAnsi"/>
          <w:bCs/>
          <w:sz w:val="22"/>
          <w:szCs w:val="22"/>
          <w:lang w:val="en-US"/>
        </w:rPr>
        <w:t xml:space="preserve"> the following criteria: </w:t>
      </w:r>
    </w:p>
    <w:p w14:paraId="68D7FA9E" w14:textId="77777777" w:rsidR="00102997" w:rsidRPr="00942A69" w:rsidRDefault="00102997" w:rsidP="00102997">
      <w:pPr>
        <w:pStyle w:val="Default"/>
        <w:numPr>
          <w:ilvl w:val="1"/>
          <w:numId w:val="7"/>
        </w:numPr>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previous academic career of the person to be funded</w:t>
      </w:r>
    </w:p>
    <w:p w14:paraId="40B6636E" w14:textId="77777777" w:rsidR="00102997" w:rsidRPr="00942A69" w:rsidRDefault="00102997" w:rsidP="00102997">
      <w:pPr>
        <w:pStyle w:val="Default"/>
        <w:numPr>
          <w:ilvl w:val="1"/>
          <w:numId w:val="7"/>
        </w:numPr>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 xml:space="preserve">Gender equality concept of the applicant clinic or institute </w:t>
      </w:r>
    </w:p>
    <w:p w14:paraId="3011393F" w14:textId="77777777" w:rsidR="00102997" w:rsidRPr="00942A69" w:rsidRDefault="00102997" w:rsidP="00C90BE7">
      <w:pPr>
        <w:pStyle w:val="Default"/>
        <w:jc w:val="both"/>
        <w:rPr>
          <w:rFonts w:asciiTheme="majorHAnsi" w:hAnsiTheme="majorHAnsi" w:cstheme="majorHAnsi"/>
          <w:b/>
          <w:lang w:val="en-US"/>
        </w:rPr>
      </w:pPr>
    </w:p>
    <w:p w14:paraId="1FCDE7E7" w14:textId="77777777" w:rsidR="00102997" w:rsidRPr="00942A69" w:rsidRDefault="00102997" w:rsidP="00397624">
      <w:pPr>
        <w:pStyle w:val="Default"/>
        <w:ind w:left="709"/>
        <w:jc w:val="both"/>
        <w:rPr>
          <w:rFonts w:asciiTheme="majorHAnsi" w:hAnsiTheme="majorHAnsi" w:cstheme="majorHAnsi"/>
          <w:sz w:val="22"/>
          <w:szCs w:val="22"/>
          <w:lang w:val="en-US"/>
        </w:rPr>
      </w:pPr>
    </w:p>
    <w:p w14:paraId="39463D5E" w14:textId="66C792E7" w:rsidR="00102997" w:rsidRPr="00942A69" w:rsidRDefault="00102997" w:rsidP="00102997">
      <w:pPr>
        <w:pStyle w:val="Default"/>
        <w:numPr>
          <w:ilvl w:val="0"/>
          <w:numId w:val="11"/>
        </w:numPr>
        <w:jc w:val="both"/>
        <w:rPr>
          <w:rFonts w:asciiTheme="majorHAnsi" w:hAnsiTheme="majorHAnsi" w:cstheme="majorHAnsi"/>
          <w:b/>
          <w:bCs/>
          <w:sz w:val="22"/>
          <w:szCs w:val="22"/>
          <w:lang w:val="en-US"/>
        </w:rPr>
      </w:pPr>
      <w:r w:rsidRPr="00942A69">
        <w:rPr>
          <w:rFonts w:asciiTheme="majorHAnsi" w:hAnsiTheme="majorHAnsi" w:cstheme="majorHAnsi"/>
          <w:b/>
          <w:sz w:val="22"/>
          <w:szCs w:val="22"/>
          <w:lang w:val="en-US"/>
        </w:rPr>
        <w:t xml:space="preserve">Financing of </w:t>
      </w:r>
      <w:r w:rsidR="00A64565">
        <w:rPr>
          <w:rFonts w:asciiTheme="majorHAnsi" w:hAnsiTheme="majorHAnsi" w:cstheme="majorHAnsi"/>
          <w:b/>
          <w:sz w:val="22"/>
          <w:szCs w:val="22"/>
          <w:lang w:val="en-US"/>
        </w:rPr>
        <w:t>the position</w:t>
      </w:r>
      <w:bookmarkStart w:id="0" w:name="_GoBack"/>
      <w:bookmarkEnd w:id="0"/>
    </w:p>
    <w:p w14:paraId="56AD1EAE" w14:textId="77777777" w:rsidR="00102997" w:rsidRPr="00942A69" w:rsidRDefault="00102997" w:rsidP="009563FF">
      <w:pPr>
        <w:pStyle w:val="Listenabsatz"/>
        <w:autoSpaceDE w:val="0"/>
        <w:autoSpaceDN w:val="0"/>
        <w:adjustRightInd w:val="0"/>
        <w:jc w:val="both"/>
        <w:rPr>
          <w:rFonts w:asciiTheme="majorHAnsi" w:hAnsiTheme="majorHAnsi" w:cstheme="majorHAnsi"/>
          <w:color w:val="000000"/>
          <w:szCs w:val="22"/>
          <w:lang w:val="en-US"/>
        </w:rPr>
      </w:pPr>
      <w:r w:rsidRPr="00942A69">
        <w:rPr>
          <w:rFonts w:asciiTheme="majorHAnsi" w:hAnsiTheme="majorHAnsi" w:cstheme="majorHAnsi"/>
          <w:color w:val="000000"/>
          <w:szCs w:val="22"/>
          <w:lang w:val="en-US"/>
        </w:rPr>
        <w:t>Half of the junior researcher's position, which is funded by the Equal Opportunities Office, is paid directly from the Faculty of Medicine's equal opportunities budget.</w:t>
      </w:r>
    </w:p>
    <w:p w14:paraId="4A7EE9C1" w14:textId="77777777" w:rsidR="00102997" w:rsidRPr="00942A69" w:rsidRDefault="00102997" w:rsidP="009563FF">
      <w:pPr>
        <w:pStyle w:val="Listenabsatz"/>
        <w:autoSpaceDE w:val="0"/>
        <w:autoSpaceDN w:val="0"/>
        <w:adjustRightInd w:val="0"/>
        <w:jc w:val="both"/>
        <w:rPr>
          <w:rFonts w:asciiTheme="majorHAnsi" w:hAnsiTheme="majorHAnsi" w:cstheme="majorHAnsi"/>
          <w:color w:val="000000"/>
          <w:szCs w:val="22"/>
          <w:lang w:val="en-US"/>
        </w:rPr>
      </w:pPr>
    </w:p>
    <w:p w14:paraId="01DA6436" w14:textId="77777777" w:rsidR="00102997" w:rsidRPr="00942A69" w:rsidRDefault="00102997" w:rsidP="00102997">
      <w:pPr>
        <w:pStyle w:val="Default"/>
        <w:numPr>
          <w:ilvl w:val="0"/>
          <w:numId w:val="11"/>
        </w:numPr>
        <w:jc w:val="both"/>
        <w:rPr>
          <w:rFonts w:asciiTheme="majorHAnsi" w:hAnsiTheme="majorHAnsi" w:cstheme="majorHAnsi"/>
          <w:b/>
          <w:bCs/>
          <w:iCs/>
          <w:color w:val="333333" w:themeColor="text1"/>
          <w:sz w:val="22"/>
          <w:szCs w:val="22"/>
          <w:lang w:val="en-US"/>
        </w:rPr>
      </w:pPr>
      <w:r w:rsidRPr="00942A69">
        <w:rPr>
          <w:rFonts w:asciiTheme="majorHAnsi" w:hAnsiTheme="majorHAnsi" w:cstheme="majorHAnsi"/>
          <w:b/>
          <w:bCs/>
          <w:iCs/>
          <w:color w:val="333333" w:themeColor="text1"/>
          <w:sz w:val="22"/>
          <w:szCs w:val="22"/>
          <w:lang w:val="en-US"/>
        </w:rPr>
        <w:t xml:space="preserve">Number and scope of the bonus point: </w:t>
      </w:r>
    </w:p>
    <w:p w14:paraId="32432FF4" w14:textId="77777777" w:rsidR="00102997" w:rsidRPr="00942A69" w:rsidRDefault="00102997" w:rsidP="00DA4EA9">
      <w:pPr>
        <w:pStyle w:val="Default"/>
        <w:ind w:left="720"/>
        <w:jc w:val="both"/>
        <w:rPr>
          <w:rFonts w:asciiTheme="majorHAnsi" w:hAnsiTheme="majorHAnsi" w:cstheme="majorHAnsi"/>
          <w:bCs/>
          <w:iCs/>
          <w:color w:val="333333" w:themeColor="text1"/>
          <w:sz w:val="22"/>
          <w:szCs w:val="22"/>
          <w:lang w:val="en-US"/>
        </w:rPr>
      </w:pPr>
      <w:r w:rsidRPr="00942A69">
        <w:rPr>
          <w:rFonts w:asciiTheme="majorHAnsi" w:hAnsiTheme="majorHAnsi" w:cstheme="majorHAnsi"/>
          <w:bCs/>
          <w:iCs/>
          <w:color w:val="333333" w:themeColor="text1"/>
          <w:sz w:val="22"/>
          <w:szCs w:val="22"/>
          <w:lang w:val="en-US"/>
        </w:rPr>
        <w:t xml:space="preserve">Eight </w:t>
      </w:r>
      <w:r w:rsidRPr="00942A69">
        <w:rPr>
          <w:rFonts w:asciiTheme="majorHAnsi" w:hAnsiTheme="majorHAnsi" w:cstheme="majorHAnsi"/>
          <w:bCs/>
          <w:sz w:val="22"/>
          <w:szCs w:val="22"/>
          <w:lang w:val="en-US"/>
        </w:rPr>
        <w:t xml:space="preserve">half-time </w:t>
      </w:r>
      <w:r w:rsidRPr="00942A69">
        <w:rPr>
          <w:rFonts w:asciiTheme="majorHAnsi" w:hAnsiTheme="majorHAnsi" w:cstheme="majorHAnsi"/>
          <w:bCs/>
          <w:iCs/>
          <w:color w:val="333333" w:themeColor="text1"/>
          <w:sz w:val="22"/>
          <w:szCs w:val="22"/>
          <w:lang w:val="en-US"/>
        </w:rPr>
        <w:t>positions, one half-time Ä1/E13 VK position each for 18 months</w:t>
      </w:r>
    </w:p>
    <w:p w14:paraId="5693704B" w14:textId="77777777" w:rsidR="00102997" w:rsidRPr="00942A69" w:rsidRDefault="00102997" w:rsidP="00A60ADF">
      <w:pPr>
        <w:pStyle w:val="Default"/>
        <w:ind w:left="720"/>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 xml:space="preserve">The following distribution is planned: </w:t>
      </w:r>
    </w:p>
    <w:p w14:paraId="7147D71E" w14:textId="77777777" w:rsidR="00102997" w:rsidRPr="00942A69" w:rsidRDefault="00102997" w:rsidP="00A60ADF">
      <w:pPr>
        <w:pStyle w:val="Default"/>
        <w:ind w:left="720"/>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 xml:space="preserve">In a selection process involving the Equal Opportunities Committee, a total of six half positions are awarded to clinics or institutes. </w:t>
      </w:r>
    </w:p>
    <w:p w14:paraId="6C148CFC" w14:textId="77777777" w:rsidR="00102997" w:rsidRPr="00942A69" w:rsidRDefault="00102997" w:rsidP="00A60ADF">
      <w:pPr>
        <w:pStyle w:val="Default"/>
        <w:ind w:left="720"/>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Two half positions are awarded to clinics or institutes with a low proportion of women with habilitations.</w:t>
      </w:r>
      <w:r w:rsidRPr="00942A69">
        <w:rPr>
          <w:rFonts w:asciiTheme="majorHAnsi" w:hAnsiTheme="majorHAnsi" w:cstheme="majorHAnsi"/>
          <w:bCs/>
          <w:sz w:val="22"/>
          <w:szCs w:val="22"/>
          <w:lang w:val="en-US"/>
        </w:rPr>
        <w:tab/>
      </w:r>
    </w:p>
    <w:p w14:paraId="6B719FBF" w14:textId="77777777" w:rsidR="00102997" w:rsidRPr="00942A69" w:rsidRDefault="00102997" w:rsidP="00A60ADF">
      <w:pPr>
        <w:pStyle w:val="Default"/>
        <w:ind w:left="720"/>
        <w:jc w:val="both"/>
        <w:rPr>
          <w:rFonts w:asciiTheme="majorHAnsi" w:hAnsiTheme="majorHAnsi" w:cstheme="majorHAnsi"/>
          <w:bCs/>
          <w:sz w:val="22"/>
          <w:szCs w:val="22"/>
          <w:lang w:val="en-US"/>
        </w:rPr>
      </w:pPr>
    </w:p>
    <w:p w14:paraId="010A5A80" w14:textId="77777777" w:rsidR="00102997" w:rsidRPr="00942A69" w:rsidRDefault="00102997" w:rsidP="00102997">
      <w:pPr>
        <w:pStyle w:val="Default"/>
        <w:numPr>
          <w:ilvl w:val="0"/>
          <w:numId w:val="11"/>
        </w:numPr>
        <w:jc w:val="both"/>
        <w:rPr>
          <w:rFonts w:asciiTheme="majorHAnsi" w:hAnsiTheme="majorHAnsi" w:cstheme="majorHAnsi"/>
          <w:bCs/>
          <w:iCs/>
          <w:color w:val="333333" w:themeColor="text1"/>
          <w:sz w:val="22"/>
          <w:szCs w:val="22"/>
          <w:lang w:val="en-US"/>
        </w:rPr>
      </w:pPr>
      <w:r w:rsidRPr="00942A69">
        <w:rPr>
          <w:rFonts w:asciiTheme="majorHAnsi" w:hAnsiTheme="majorHAnsi" w:cstheme="majorHAnsi"/>
          <w:b/>
          <w:bCs/>
          <w:color w:val="auto"/>
          <w:sz w:val="22"/>
          <w:szCs w:val="22"/>
          <w:lang w:val="en-US"/>
        </w:rPr>
        <w:t xml:space="preserve">Procedure, deadlines and </w:t>
      </w:r>
      <w:r w:rsidRPr="00942A69">
        <w:rPr>
          <w:rFonts w:asciiTheme="majorHAnsi" w:hAnsiTheme="majorHAnsi" w:cstheme="majorHAnsi"/>
          <w:b/>
          <w:bCs/>
          <w:sz w:val="22"/>
          <w:szCs w:val="22"/>
          <w:lang w:val="en-US"/>
        </w:rPr>
        <w:t xml:space="preserve">decision on applications: </w:t>
      </w:r>
    </w:p>
    <w:p w14:paraId="053E9A93" w14:textId="77777777" w:rsidR="00102997" w:rsidRPr="00942A69" w:rsidRDefault="00102997" w:rsidP="000A4852">
      <w:pPr>
        <w:pStyle w:val="Default"/>
        <w:ind w:left="720"/>
        <w:jc w:val="both"/>
        <w:rPr>
          <w:rFonts w:asciiTheme="majorHAnsi" w:hAnsiTheme="majorHAnsi" w:cstheme="majorHAnsi"/>
          <w:bCs/>
          <w:sz w:val="22"/>
          <w:szCs w:val="22"/>
          <w:lang w:val="en-US"/>
        </w:rPr>
      </w:pPr>
      <w:r w:rsidRPr="00942A69">
        <w:rPr>
          <w:rFonts w:asciiTheme="majorHAnsi" w:hAnsiTheme="majorHAnsi" w:cstheme="majorHAnsi"/>
          <w:bCs/>
          <w:sz w:val="22"/>
          <w:szCs w:val="22"/>
          <w:lang w:val="en-US"/>
        </w:rPr>
        <w:t xml:space="preserve">The Committee for the Advancement of Women and Gender Equality decides on the applications submitted four times a year. The application must be submitted no later than </w:t>
      </w:r>
      <w:r w:rsidRPr="00942A69">
        <w:rPr>
          <w:rFonts w:asciiTheme="majorHAnsi" w:hAnsiTheme="majorHAnsi" w:cstheme="majorHAnsi"/>
          <w:b/>
          <w:bCs/>
          <w:sz w:val="22"/>
          <w:szCs w:val="22"/>
          <w:lang w:val="en-US"/>
        </w:rPr>
        <w:t>six months after the scientist has completed her habilitation</w:t>
      </w:r>
      <w:r w:rsidRPr="00942A69">
        <w:rPr>
          <w:rFonts w:asciiTheme="majorHAnsi" w:hAnsiTheme="majorHAnsi" w:cstheme="majorHAnsi"/>
          <w:bCs/>
          <w:sz w:val="22"/>
          <w:szCs w:val="22"/>
          <w:lang w:val="en-US"/>
        </w:rPr>
        <w:t xml:space="preserve">; later submission is not possible. After the application has been positively assessed by the Committee for the Advancement of Women and Gender Equality, the Equal Opportunities Department will request a personnel application from the applicant for the junior researcher to implement the personnel measure. </w:t>
      </w:r>
      <w:r w:rsidRPr="00942A69">
        <w:rPr>
          <w:rFonts w:asciiTheme="majorHAnsi" w:hAnsiTheme="majorHAnsi" w:cstheme="majorHAnsi"/>
          <w:b/>
          <w:bCs/>
          <w:sz w:val="22"/>
          <w:szCs w:val="22"/>
          <w:lang w:val="en-US"/>
        </w:rPr>
        <w:t xml:space="preserve">The personnel measure must begin no later than 6 months after the approval has been sent. </w:t>
      </w:r>
    </w:p>
    <w:p w14:paraId="4DBCA41D" w14:textId="77777777" w:rsidR="00102997" w:rsidRPr="00942A69" w:rsidRDefault="00102997" w:rsidP="00A60ADF">
      <w:pPr>
        <w:pStyle w:val="Default"/>
        <w:ind w:left="720"/>
        <w:jc w:val="both"/>
        <w:rPr>
          <w:rFonts w:asciiTheme="majorHAnsi" w:hAnsiTheme="majorHAnsi" w:cstheme="majorHAnsi"/>
          <w:bCs/>
          <w:iCs/>
          <w:color w:val="333333" w:themeColor="text1"/>
          <w:sz w:val="22"/>
          <w:szCs w:val="22"/>
          <w:lang w:val="en-US"/>
        </w:rPr>
      </w:pPr>
    </w:p>
    <w:p w14:paraId="58F0C00B" w14:textId="77777777" w:rsidR="00102997" w:rsidRPr="00942A69" w:rsidRDefault="00102997" w:rsidP="00D126BF">
      <w:pPr>
        <w:autoSpaceDE w:val="0"/>
        <w:autoSpaceDN w:val="0"/>
        <w:adjustRightInd w:val="0"/>
        <w:rPr>
          <w:rFonts w:asciiTheme="majorHAnsi" w:hAnsiTheme="majorHAnsi" w:cstheme="majorHAnsi"/>
          <w:color w:val="000000"/>
          <w:szCs w:val="22"/>
          <w:lang w:val="en-US"/>
        </w:rPr>
      </w:pPr>
    </w:p>
    <w:p w14:paraId="27043D84" w14:textId="77777777" w:rsidR="00102997" w:rsidRPr="00942A69" w:rsidRDefault="00102997" w:rsidP="00A60ADF">
      <w:pPr>
        <w:pStyle w:val="Listenabsatz"/>
        <w:autoSpaceDE w:val="0"/>
        <w:autoSpaceDN w:val="0"/>
        <w:adjustRightInd w:val="0"/>
        <w:rPr>
          <w:rFonts w:asciiTheme="majorHAnsi" w:hAnsiTheme="majorHAnsi" w:cstheme="majorHAnsi"/>
          <w:szCs w:val="22"/>
          <w:lang w:val="en-US"/>
        </w:rPr>
      </w:pPr>
    </w:p>
    <w:p w14:paraId="68B8AA6C" w14:textId="77777777" w:rsidR="00102997" w:rsidRPr="00942A69" w:rsidRDefault="00102997" w:rsidP="00D126BF">
      <w:pPr>
        <w:jc w:val="both"/>
        <w:rPr>
          <w:rFonts w:asciiTheme="majorHAnsi" w:hAnsiTheme="majorHAnsi" w:cstheme="majorHAnsi"/>
          <w:b/>
          <w:szCs w:val="22"/>
          <w:lang w:val="en-US"/>
        </w:rPr>
      </w:pPr>
      <w:r w:rsidRPr="00942A69">
        <w:rPr>
          <w:rFonts w:asciiTheme="majorHAnsi" w:hAnsiTheme="majorHAnsi" w:cstheme="majorHAnsi"/>
          <w:color w:val="000000"/>
          <w:szCs w:val="22"/>
          <w:lang w:val="en-US"/>
        </w:rPr>
        <w:t xml:space="preserve">At the end of the funding phase, the Equal Opportunities Office expects a joint report from the applicant and the funded researcher on the results achieved during the release phase </w:t>
      </w:r>
      <w:r w:rsidRPr="00942A69">
        <w:rPr>
          <w:rFonts w:asciiTheme="majorHAnsi" w:hAnsiTheme="majorHAnsi" w:cstheme="majorHAnsi"/>
          <w:b/>
          <w:szCs w:val="22"/>
          <w:lang w:val="en-US"/>
        </w:rPr>
        <w:t>and a perspective on the continuation of the habilitation project.</w:t>
      </w:r>
    </w:p>
    <w:p w14:paraId="0F6ED74A" w14:textId="77777777" w:rsidR="00102997" w:rsidRPr="00942A69" w:rsidRDefault="00102997" w:rsidP="00AA7CD2">
      <w:pPr>
        <w:autoSpaceDE w:val="0"/>
        <w:autoSpaceDN w:val="0"/>
        <w:adjustRightInd w:val="0"/>
        <w:jc w:val="both"/>
        <w:rPr>
          <w:rFonts w:asciiTheme="majorHAnsi" w:hAnsiTheme="majorHAnsi" w:cstheme="majorHAnsi"/>
          <w:b/>
          <w:bCs/>
          <w:color w:val="000000"/>
          <w:szCs w:val="22"/>
          <w:lang w:val="en-US"/>
        </w:rPr>
      </w:pPr>
      <w:r w:rsidRPr="00942A69">
        <w:rPr>
          <w:rFonts w:asciiTheme="majorHAnsi" w:hAnsiTheme="majorHAnsi" w:cstheme="majorHAnsi"/>
          <w:b/>
          <w:bCs/>
          <w:color w:val="000000"/>
          <w:szCs w:val="22"/>
          <w:lang w:val="en-US"/>
        </w:rPr>
        <w:t xml:space="preserve">Applications should be addressed to the Equal Opportunities Officer Janne Ehlers </w:t>
      </w:r>
    </w:p>
    <w:p w14:paraId="2A45F47F" w14:textId="77777777" w:rsidR="00102997" w:rsidRPr="00942A69" w:rsidRDefault="00102997" w:rsidP="00AA7CD2">
      <w:pPr>
        <w:autoSpaceDE w:val="0"/>
        <w:autoSpaceDN w:val="0"/>
        <w:adjustRightInd w:val="0"/>
        <w:jc w:val="both"/>
        <w:rPr>
          <w:rStyle w:val="Hyperlink"/>
          <w:rFonts w:asciiTheme="majorHAnsi" w:hAnsiTheme="majorHAnsi" w:cstheme="majorHAnsi"/>
          <w:bCs/>
          <w:szCs w:val="22"/>
          <w:lang w:val="en-US"/>
        </w:rPr>
      </w:pPr>
      <w:r w:rsidRPr="00942A69">
        <w:rPr>
          <w:rFonts w:asciiTheme="majorHAnsi" w:hAnsiTheme="majorHAnsi" w:cstheme="majorHAnsi"/>
          <w:b/>
          <w:bCs/>
          <w:color w:val="000000"/>
          <w:szCs w:val="22"/>
          <w:lang w:val="en-US"/>
        </w:rPr>
        <w:t xml:space="preserve">Phone 7410 58354 E-Mail: </w:t>
      </w:r>
      <w:hyperlink r:id="rId10" w:history="1">
        <w:r w:rsidRPr="00942A69">
          <w:rPr>
            <w:rStyle w:val="Hyperlink"/>
            <w:rFonts w:asciiTheme="majorHAnsi" w:hAnsiTheme="majorHAnsi" w:cstheme="majorHAnsi"/>
            <w:szCs w:val="22"/>
            <w:lang w:val="en-US"/>
          </w:rPr>
          <w:t>gleichstellung@uke.de</w:t>
        </w:r>
      </w:hyperlink>
    </w:p>
    <w:p w14:paraId="58C171F8" w14:textId="77777777" w:rsidR="00102997" w:rsidRPr="00942A69" w:rsidRDefault="00102997" w:rsidP="00AA7CD2">
      <w:pPr>
        <w:autoSpaceDE w:val="0"/>
        <w:autoSpaceDN w:val="0"/>
        <w:adjustRightInd w:val="0"/>
        <w:jc w:val="both"/>
        <w:rPr>
          <w:rStyle w:val="Hyperlink"/>
          <w:rFonts w:asciiTheme="majorHAnsi" w:hAnsiTheme="majorHAnsi" w:cstheme="majorHAnsi"/>
          <w:bCs/>
          <w:szCs w:val="22"/>
          <w:lang w:val="en-US"/>
        </w:rPr>
      </w:pPr>
    </w:p>
    <w:p w14:paraId="3CAE8DC5" w14:textId="77777777" w:rsidR="00102997" w:rsidRPr="008F428E" w:rsidRDefault="00102997" w:rsidP="00636422">
      <w:pPr>
        <w:autoSpaceDE w:val="0"/>
        <w:autoSpaceDN w:val="0"/>
        <w:adjustRightInd w:val="0"/>
        <w:jc w:val="both"/>
        <w:rPr>
          <w:rFonts w:asciiTheme="majorHAnsi" w:hAnsiTheme="majorHAnsi" w:cstheme="majorHAnsi"/>
          <w:color w:val="000000"/>
          <w:szCs w:val="22"/>
          <w:lang w:val="en-US"/>
        </w:rPr>
      </w:pPr>
    </w:p>
    <w:p w14:paraId="0BAEB8C6" w14:textId="77777777" w:rsidR="00102997" w:rsidRPr="00942A69" w:rsidRDefault="00102997" w:rsidP="002D233F">
      <w:pPr>
        <w:spacing w:after="240"/>
        <w:jc w:val="both"/>
        <w:rPr>
          <w:rFonts w:asciiTheme="majorHAnsi" w:hAnsiTheme="majorHAnsi" w:cstheme="majorHAnsi"/>
          <w:lang w:val="en-US"/>
        </w:rPr>
      </w:pPr>
    </w:p>
    <w:sectPr w:rsidR="00102997" w:rsidRPr="00942A69" w:rsidSect="00F1454F">
      <w:headerReference w:type="default" r:id="rId11"/>
      <w:headerReference w:type="first" r:id="rId12"/>
      <w:footerReference w:type="first" r:id="rId13"/>
      <w:type w:val="continuous"/>
      <w:pgSz w:w="11906" w:h="16838" w:code="9"/>
      <w:pgMar w:top="1701" w:right="1416" w:bottom="1134" w:left="1276"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62A8" w14:textId="77777777" w:rsidR="00B81A48" w:rsidRDefault="00B81A48" w:rsidP="001938D3">
      <w:r>
        <w:separator/>
      </w:r>
    </w:p>
    <w:p w14:paraId="6EE5BA32" w14:textId="77777777" w:rsidR="00B81A48" w:rsidRDefault="00B81A48" w:rsidP="001938D3"/>
  </w:endnote>
  <w:endnote w:type="continuationSeparator" w:id="0">
    <w:p w14:paraId="6A3D4E01" w14:textId="77777777" w:rsidR="00B81A48" w:rsidRDefault="00B81A48" w:rsidP="001938D3">
      <w:r>
        <w:continuationSeparator/>
      </w:r>
    </w:p>
    <w:p w14:paraId="4CE67C91" w14:textId="77777777" w:rsidR="00B81A48" w:rsidRDefault="00B81A48"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3F568247" w14:textId="77777777" w:rsidTr="004342E3">
      <w:tc>
        <w:tcPr>
          <w:tcW w:w="7088" w:type="dxa"/>
        </w:tcPr>
        <w:p w14:paraId="3B490790" w14:textId="77777777" w:rsidR="00F807AE" w:rsidRPr="00F807AE" w:rsidRDefault="00F807AE" w:rsidP="001938D3">
          <w:pPr>
            <w:pStyle w:val="Fuzeile"/>
            <w:rPr>
              <w:lang w:val="en-US"/>
            </w:rPr>
          </w:pPr>
        </w:p>
      </w:tc>
      <w:tc>
        <w:tcPr>
          <w:tcW w:w="3087" w:type="dxa"/>
          <w:vAlign w:val="bottom"/>
        </w:tcPr>
        <w:p w14:paraId="7BB3E49E" w14:textId="77777777" w:rsidR="00463309" w:rsidRPr="00F807AE" w:rsidRDefault="00463309" w:rsidP="001938D3">
          <w:pPr>
            <w:pStyle w:val="FuzeileUKE"/>
          </w:pPr>
        </w:p>
      </w:tc>
    </w:tr>
  </w:tbl>
  <w:p w14:paraId="74D0A173"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99FA8" w14:textId="77777777" w:rsidR="00B81A48" w:rsidRDefault="00B81A48" w:rsidP="001938D3">
      <w:r>
        <w:separator/>
      </w:r>
    </w:p>
    <w:p w14:paraId="7D8EA90C" w14:textId="77777777" w:rsidR="00B81A48" w:rsidRDefault="00B81A48" w:rsidP="001938D3"/>
  </w:footnote>
  <w:footnote w:type="continuationSeparator" w:id="0">
    <w:p w14:paraId="21E28F65" w14:textId="77777777" w:rsidR="00B81A48" w:rsidRDefault="00B81A48" w:rsidP="001938D3">
      <w:r>
        <w:continuationSeparator/>
      </w:r>
    </w:p>
    <w:p w14:paraId="0BA3D83B" w14:textId="77777777" w:rsidR="00B81A48" w:rsidRDefault="00B81A48"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2DE8689F" w14:textId="77777777" w:rsidTr="00030C2B">
      <w:trPr>
        <w:trHeight w:hRule="exact" w:val="357"/>
      </w:trPr>
      <w:tc>
        <w:tcPr>
          <w:tcW w:w="567" w:type="dxa"/>
          <w:vMerge w:val="restart"/>
        </w:tcPr>
        <w:p w14:paraId="48F984E5" w14:textId="77777777" w:rsidR="00EE45C2" w:rsidRDefault="00EE45C2" w:rsidP="001938D3">
          <w:pPr>
            <w:pStyle w:val="KopfzeileTopSpace"/>
            <w:rPr>
              <w:noProof/>
            </w:rPr>
          </w:pPr>
          <w:r>
            <w:rPr>
              <w:noProof/>
            </w:rPr>
            <w:drawing>
              <wp:inline distT="0" distB="0" distL="0" distR="0" wp14:anchorId="5006657D" wp14:editId="20704D85">
                <wp:extent cx="270000" cy="23625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76C2B8C" w14:textId="77777777" w:rsidR="00FA51DE" w:rsidRPr="00030C2B" w:rsidRDefault="00FA51DE" w:rsidP="00D216F4">
          <w:pPr>
            <w:pStyle w:val="KopfzeileGeschftsbereichSeite2"/>
          </w:pPr>
        </w:p>
      </w:tc>
      <w:tc>
        <w:tcPr>
          <w:tcW w:w="425" w:type="dxa"/>
          <w:vAlign w:val="bottom"/>
        </w:tcPr>
        <w:p w14:paraId="7BCF51FA" w14:textId="77777777" w:rsidR="00FA51DE" w:rsidRDefault="00FA51DE" w:rsidP="00D216F4">
          <w:pPr>
            <w:pStyle w:val="KopfzeileGeschftsbereich"/>
            <w:rPr>
              <w:noProof/>
            </w:rPr>
          </w:pPr>
        </w:p>
      </w:tc>
      <w:tc>
        <w:tcPr>
          <w:tcW w:w="5103" w:type="dxa"/>
          <w:vAlign w:val="bottom"/>
        </w:tcPr>
        <w:p w14:paraId="5B88E5E5" w14:textId="77777777" w:rsidR="00FA51DE" w:rsidRPr="00E83357" w:rsidRDefault="00E83357" w:rsidP="00030C2B">
          <w:pPr>
            <w:pStyle w:val="Seitenleiste"/>
          </w:pPr>
          <w:r>
            <w:t>S</w:t>
          </w:r>
          <w:r w:rsidR="00FA51DE" w:rsidRPr="00201EF0">
            <w:t>eite 2/2</w:t>
          </w:r>
        </w:p>
      </w:tc>
    </w:tr>
    <w:tr w:rsidR="00FA51DE" w:rsidRPr="001A3B60" w14:paraId="199AF0B2" w14:textId="77777777" w:rsidTr="001A3B60">
      <w:tc>
        <w:tcPr>
          <w:tcW w:w="567" w:type="dxa"/>
          <w:vMerge/>
        </w:tcPr>
        <w:p w14:paraId="48025ADA" w14:textId="77777777" w:rsidR="00FA51DE" w:rsidRDefault="00FA51DE" w:rsidP="001938D3">
          <w:pPr>
            <w:pStyle w:val="KopfzeileTopSpace"/>
            <w:rPr>
              <w:noProof/>
            </w:rPr>
          </w:pPr>
        </w:p>
      </w:tc>
      <w:tc>
        <w:tcPr>
          <w:tcW w:w="3828" w:type="dxa"/>
          <w:vAlign w:val="bottom"/>
        </w:tcPr>
        <w:p w14:paraId="1D6434CA" w14:textId="77777777" w:rsidR="00FA51DE" w:rsidRPr="001A3B60" w:rsidRDefault="00FA51DE" w:rsidP="00D216F4">
          <w:pPr>
            <w:pStyle w:val="KopfzeileGeschftsbereichSeite2"/>
          </w:pPr>
        </w:p>
      </w:tc>
      <w:tc>
        <w:tcPr>
          <w:tcW w:w="425" w:type="dxa"/>
          <w:vAlign w:val="bottom"/>
        </w:tcPr>
        <w:p w14:paraId="2849E9D3" w14:textId="77777777" w:rsidR="00FA51DE" w:rsidRDefault="00FA51DE" w:rsidP="00D216F4">
          <w:pPr>
            <w:pStyle w:val="KopfzeileGeschftsbereich"/>
            <w:rPr>
              <w:noProof/>
            </w:rPr>
          </w:pPr>
        </w:p>
      </w:tc>
      <w:tc>
        <w:tcPr>
          <w:tcW w:w="5103" w:type="dxa"/>
          <w:vAlign w:val="bottom"/>
        </w:tcPr>
        <w:p w14:paraId="369BFF39" w14:textId="77777777" w:rsidR="00FA51DE" w:rsidRPr="00201EF0" w:rsidRDefault="00FA51DE" w:rsidP="00030C2B">
          <w:pPr>
            <w:pStyle w:val="Seitenleiste"/>
          </w:pPr>
        </w:p>
      </w:tc>
    </w:tr>
  </w:tbl>
  <w:p w14:paraId="68109EF9"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0F5AAA61" wp14:editId="24471485">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E1B105"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3247"/>
      <w:gridCol w:w="426"/>
      <w:gridCol w:w="5240"/>
    </w:tblGrid>
    <w:tr w:rsidR="001A3B60" w:rsidRPr="001A3B60" w14:paraId="2A7466E8" w14:textId="77777777" w:rsidTr="00F7416C">
      <w:trPr>
        <w:trHeight w:hRule="exact" w:val="806"/>
      </w:trPr>
      <w:tc>
        <w:tcPr>
          <w:tcW w:w="1167" w:type="dxa"/>
          <w:vMerge w:val="restart"/>
        </w:tcPr>
        <w:p w14:paraId="4E92337D" w14:textId="77777777" w:rsidR="00EE45C2" w:rsidRDefault="00EE45C2" w:rsidP="001938D3">
          <w:pPr>
            <w:pStyle w:val="KopfzeileTopSpace"/>
            <w:rPr>
              <w:noProof/>
            </w:rPr>
          </w:pPr>
          <w:r>
            <w:rPr>
              <w:noProof/>
            </w:rPr>
            <w:drawing>
              <wp:inline distT="0" distB="0" distL="0" distR="0" wp14:anchorId="55EAFE84" wp14:editId="333303BE">
                <wp:extent cx="540000" cy="569421"/>
                <wp:effectExtent l="0" t="0" r="0" b="254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47" w:type="dxa"/>
          <w:vAlign w:val="bottom"/>
        </w:tcPr>
        <w:p w14:paraId="56BF0B26" w14:textId="277AA5D7" w:rsidR="003E12D3" w:rsidRDefault="00102997" w:rsidP="008C25DD">
          <w:pPr>
            <w:pStyle w:val="KopfzeileGeschftsbereich"/>
          </w:pPr>
          <w:r>
            <w:t xml:space="preserve">Equal Opportunities Office </w:t>
          </w:r>
        </w:p>
        <w:p w14:paraId="7A1B95CE" w14:textId="77777777" w:rsidR="003E12D3" w:rsidRPr="00D216F4" w:rsidRDefault="003E12D3" w:rsidP="008C25DD">
          <w:pPr>
            <w:pStyle w:val="KopfzeileGeschftsbereich"/>
          </w:pPr>
        </w:p>
      </w:tc>
      <w:tc>
        <w:tcPr>
          <w:tcW w:w="426" w:type="dxa"/>
          <w:vAlign w:val="bottom"/>
        </w:tcPr>
        <w:p w14:paraId="0F4EFA59" w14:textId="77777777" w:rsidR="001A3B60" w:rsidRDefault="001A3B60" w:rsidP="00D216F4">
          <w:pPr>
            <w:pStyle w:val="KopfzeileGeschftsbereich"/>
            <w:rPr>
              <w:noProof/>
            </w:rPr>
          </w:pPr>
        </w:p>
      </w:tc>
      <w:tc>
        <w:tcPr>
          <w:tcW w:w="5240" w:type="dxa"/>
          <w:vAlign w:val="bottom"/>
        </w:tcPr>
        <w:p w14:paraId="63E6DB35" w14:textId="77777777" w:rsidR="001A3B60" w:rsidRPr="001A3B60" w:rsidRDefault="001A3B60" w:rsidP="00030C2B">
          <w:pPr>
            <w:pStyle w:val="Seitenleiste"/>
          </w:pPr>
        </w:p>
      </w:tc>
    </w:tr>
    <w:tr w:rsidR="001A3B60" w14:paraId="4DDBAE39" w14:textId="77777777" w:rsidTr="00F7416C">
      <w:trPr>
        <w:trHeight w:val="957"/>
      </w:trPr>
      <w:tc>
        <w:tcPr>
          <w:tcW w:w="1167" w:type="dxa"/>
          <w:vMerge/>
        </w:tcPr>
        <w:p w14:paraId="4E9CA646" w14:textId="77777777" w:rsidR="001A3B60" w:rsidRDefault="001A3B60" w:rsidP="001938D3">
          <w:pPr>
            <w:pStyle w:val="KopfzeileTopSpace"/>
            <w:rPr>
              <w:noProof/>
            </w:rPr>
          </w:pPr>
        </w:p>
      </w:tc>
      <w:tc>
        <w:tcPr>
          <w:tcW w:w="3247" w:type="dxa"/>
        </w:tcPr>
        <w:p w14:paraId="6AA3BD05" w14:textId="77777777" w:rsidR="001A3B60" w:rsidRDefault="001A3B60" w:rsidP="001938D3">
          <w:pPr>
            <w:pStyle w:val="KopfzeileTopSpace"/>
            <w:rPr>
              <w:noProof/>
            </w:rPr>
          </w:pPr>
        </w:p>
      </w:tc>
      <w:tc>
        <w:tcPr>
          <w:tcW w:w="426" w:type="dxa"/>
        </w:tcPr>
        <w:p w14:paraId="269750BE" w14:textId="77777777" w:rsidR="001A3B60" w:rsidRDefault="001A3B60" w:rsidP="001938D3">
          <w:pPr>
            <w:pStyle w:val="KopfzeileTopSpace"/>
            <w:rPr>
              <w:noProof/>
            </w:rPr>
          </w:pPr>
        </w:p>
      </w:tc>
      <w:tc>
        <w:tcPr>
          <w:tcW w:w="5240" w:type="dxa"/>
        </w:tcPr>
        <w:p w14:paraId="16016065" w14:textId="77777777" w:rsidR="001A3B60" w:rsidRDefault="001A3B60" w:rsidP="001938D3">
          <w:pPr>
            <w:pStyle w:val="KopfzeileTopSpace"/>
            <w:rPr>
              <w:noProof/>
            </w:rPr>
          </w:pPr>
        </w:p>
      </w:tc>
    </w:tr>
  </w:tbl>
  <w:p w14:paraId="7FB7AEFF" w14:textId="77777777" w:rsidR="001938D3" w:rsidRPr="001938D3" w:rsidRDefault="001938D3" w:rsidP="001938D3">
    <w:pPr>
      <w:pStyle w:val="KopfzeileTopSpace"/>
    </w:pPr>
  </w:p>
  <w:p w14:paraId="44C17B3A"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723582E" wp14:editId="31FAB37B">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F437F"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72C52F6"/>
    <w:multiLevelType w:val="multilevel"/>
    <w:tmpl w:val="C9F0A762"/>
    <w:lvl w:ilvl="0">
      <w:start w:val="1"/>
      <w:numFmt w:val="bullet"/>
      <w:lvlText w:val=""/>
      <w:lvlJc w:val="left"/>
      <w:pPr>
        <w:tabs>
          <w:tab w:val="num" w:pos="360"/>
        </w:tabs>
        <w:ind w:left="360" w:hanging="360"/>
      </w:pPr>
      <w:rPr>
        <w:rFonts w:ascii="Wingdings" w:hAnsi="Wingdings"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6752AE"/>
    <w:multiLevelType w:val="multilevel"/>
    <w:tmpl w:val="0407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091132"/>
    <w:multiLevelType w:val="hybridMultilevel"/>
    <w:tmpl w:val="ACBAC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4728D4"/>
    <w:multiLevelType w:val="hybridMultilevel"/>
    <w:tmpl w:val="3202C8F4"/>
    <w:lvl w:ilvl="0" w:tplc="843C5056">
      <w:start w:val="1"/>
      <w:numFmt w:val="bullet"/>
      <w:lvlText w:val=""/>
      <w:lvlJc w:val="left"/>
      <w:pPr>
        <w:ind w:left="720" w:hanging="360"/>
      </w:pPr>
      <w:rPr>
        <w:rFonts w:ascii="Wingdings" w:hAnsi="Wingdings" w:hint="default"/>
        <w:color w:val="004992"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C0385E"/>
    <w:multiLevelType w:val="hybridMultilevel"/>
    <w:tmpl w:val="5B5C6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8E665F"/>
    <w:multiLevelType w:val="hybridMultilevel"/>
    <w:tmpl w:val="4F3E8398"/>
    <w:lvl w:ilvl="0" w:tplc="21C86EAE">
      <w:start w:val="1"/>
      <w:numFmt w:val="bullet"/>
      <w:lvlText w:val=""/>
      <w:lvlJc w:val="left"/>
      <w:pPr>
        <w:ind w:left="1069" w:hanging="360"/>
      </w:pPr>
      <w:rPr>
        <w:rFonts w:ascii="Symbol" w:hAnsi="Symbol" w:hint="default"/>
      </w:rPr>
    </w:lvl>
    <w:lvl w:ilvl="1" w:tplc="21C86EAE">
      <w:start w:val="1"/>
      <w:numFmt w:val="bullet"/>
      <w:lvlText w:val=""/>
      <w:lvlJc w:val="left"/>
      <w:pPr>
        <w:ind w:left="1789" w:hanging="360"/>
      </w:pPr>
      <w:rPr>
        <w:rFonts w:ascii="Symbol" w:hAnsi="Symbol"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0"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11" w15:restartNumberingAfterBreak="0">
    <w:nsid w:val="45934880"/>
    <w:multiLevelType w:val="hybridMultilevel"/>
    <w:tmpl w:val="2EB07260"/>
    <w:lvl w:ilvl="0" w:tplc="21C86EAE">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2"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14" w15:restartNumberingAfterBreak="0">
    <w:nsid w:val="47152CF4"/>
    <w:multiLevelType w:val="hybridMultilevel"/>
    <w:tmpl w:val="B5B809A0"/>
    <w:lvl w:ilvl="0" w:tplc="21C86EAE">
      <w:start w:val="1"/>
      <w:numFmt w:val="bullet"/>
      <w:lvlText w:val=""/>
      <w:lvlJc w:val="left"/>
      <w:pPr>
        <w:ind w:left="1069" w:hanging="360"/>
      </w:pPr>
      <w:rPr>
        <w:rFonts w:ascii="Symbol" w:hAnsi="Symbol"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5860325E"/>
    <w:multiLevelType w:val="hybridMultilevel"/>
    <w:tmpl w:val="FF9C9AD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67253A53"/>
    <w:multiLevelType w:val="hybridMultilevel"/>
    <w:tmpl w:val="65025FF8"/>
    <w:lvl w:ilvl="0" w:tplc="04070003">
      <w:start w:val="1"/>
      <w:numFmt w:val="bullet"/>
      <w:lvlText w:val="o"/>
      <w:lvlJc w:val="left"/>
      <w:pPr>
        <w:ind w:left="1069" w:hanging="360"/>
      </w:pPr>
      <w:rPr>
        <w:rFonts w:ascii="Courier New" w:hAnsi="Courier New" w:cs="Courier New"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0"/>
  </w:num>
  <w:num w:numId="4">
    <w:abstractNumId w:val="13"/>
  </w:num>
  <w:num w:numId="5">
    <w:abstractNumId w:val="17"/>
  </w:num>
  <w:num w:numId="6">
    <w:abstractNumId w:val="3"/>
  </w:num>
  <w:num w:numId="7">
    <w:abstractNumId w:val="11"/>
  </w:num>
  <w:num w:numId="8">
    <w:abstractNumId w:val="9"/>
  </w:num>
  <w:num w:numId="9">
    <w:abstractNumId w:val="2"/>
  </w:num>
  <w:num w:numId="10">
    <w:abstractNumId w:val="3"/>
  </w:num>
  <w:num w:numId="11">
    <w:abstractNumId w:val="6"/>
  </w:num>
  <w:num w:numId="12">
    <w:abstractNumId w:val="14"/>
  </w:num>
  <w:num w:numId="13">
    <w:abstractNumId w:val="16"/>
  </w:num>
  <w:num w:numId="14">
    <w:abstractNumId w:val="15"/>
  </w:num>
  <w:num w:numId="15">
    <w:abstractNumId w:val="8"/>
  </w:num>
  <w:num w:numId="16">
    <w:abstractNumId w:val="18"/>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F"/>
    <w:rsid w:val="00004032"/>
    <w:rsid w:val="0001186F"/>
    <w:rsid w:val="00026DAA"/>
    <w:rsid w:val="00030C2B"/>
    <w:rsid w:val="00032533"/>
    <w:rsid w:val="00032E3F"/>
    <w:rsid w:val="000404D4"/>
    <w:rsid w:val="00044E29"/>
    <w:rsid w:val="00056869"/>
    <w:rsid w:val="0006318E"/>
    <w:rsid w:val="00065968"/>
    <w:rsid w:val="00071992"/>
    <w:rsid w:val="00086EFD"/>
    <w:rsid w:val="000A2D70"/>
    <w:rsid w:val="000A33C8"/>
    <w:rsid w:val="000A4852"/>
    <w:rsid w:val="000A5322"/>
    <w:rsid w:val="000B1005"/>
    <w:rsid w:val="000B340B"/>
    <w:rsid w:val="000C7556"/>
    <w:rsid w:val="000D1C4B"/>
    <w:rsid w:val="000D62D9"/>
    <w:rsid w:val="000E6D85"/>
    <w:rsid w:val="000F29D5"/>
    <w:rsid w:val="000F31BE"/>
    <w:rsid w:val="00102997"/>
    <w:rsid w:val="00102A93"/>
    <w:rsid w:val="0010782A"/>
    <w:rsid w:val="00107C15"/>
    <w:rsid w:val="00112964"/>
    <w:rsid w:val="001374D4"/>
    <w:rsid w:val="00144497"/>
    <w:rsid w:val="0014473B"/>
    <w:rsid w:val="001459B2"/>
    <w:rsid w:val="00166D70"/>
    <w:rsid w:val="00186A0E"/>
    <w:rsid w:val="00190EB5"/>
    <w:rsid w:val="001938D3"/>
    <w:rsid w:val="001A3B60"/>
    <w:rsid w:val="001A74D8"/>
    <w:rsid w:val="001A7ED9"/>
    <w:rsid w:val="001B3BEB"/>
    <w:rsid w:val="001C27EF"/>
    <w:rsid w:val="001C39A5"/>
    <w:rsid w:val="001D123E"/>
    <w:rsid w:val="001D2744"/>
    <w:rsid w:val="001D4F93"/>
    <w:rsid w:val="001D5C26"/>
    <w:rsid w:val="001E0B0A"/>
    <w:rsid w:val="001E4CE5"/>
    <w:rsid w:val="001E54EF"/>
    <w:rsid w:val="001F0383"/>
    <w:rsid w:val="001F17B9"/>
    <w:rsid w:val="001F46A8"/>
    <w:rsid w:val="001F6D70"/>
    <w:rsid w:val="00200D8A"/>
    <w:rsid w:val="00201EF0"/>
    <w:rsid w:val="00213F8A"/>
    <w:rsid w:val="002207D0"/>
    <w:rsid w:val="0022115F"/>
    <w:rsid w:val="00232571"/>
    <w:rsid w:val="00233528"/>
    <w:rsid w:val="0025719A"/>
    <w:rsid w:val="0026056C"/>
    <w:rsid w:val="00274B44"/>
    <w:rsid w:val="002765B5"/>
    <w:rsid w:val="0028084F"/>
    <w:rsid w:val="00284B70"/>
    <w:rsid w:val="0029626B"/>
    <w:rsid w:val="002A3997"/>
    <w:rsid w:val="002B6B94"/>
    <w:rsid w:val="002B72A7"/>
    <w:rsid w:val="002C07BC"/>
    <w:rsid w:val="002C0BFB"/>
    <w:rsid w:val="002C2020"/>
    <w:rsid w:val="002D233F"/>
    <w:rsid w:val="002E7682"/>
    <w:rsid w:val="002F328F"/>
    <w:rsid w:val="00326442"/>
    <w:rsid w:val="003343DA"/>
    <w:rsid w:val="00336ECF"/>
    <w:rsid w:val="00347517"/>
    <w:rsid w:val="003657C6"/>
    <w:rsid w:val="0037065B"/>
    <w:rsid w:val="0037626B"/>
    <w:rsid w:val="003855F6"/>
    <w:rsid w:val="00397624"/>
    <w:rsid w:val="003B0197"/>
    <w:rsid w:val="003C1F8A"/>
    <w:rsid w:val="003C2044"/>
    <w:rsid w:val="003D4C1C"/>
    <w:rsid w:val="003D4F81"/>
    <w:rsid w:val="003D6E16"/>
    <w:rsid w:val="003E12D3"/>
    <w:rsid w:val="003E275A"/>
    <w:rsid w:val="003E3A93"/>
    <w:rsid w:val="003E5E06"/>
    <w:rsid w:val="003F2676"/>
    <w:rsid w:val="003F2A91"/>
    <w:rsid w:val="0041692E"/>
    <w:rsid w:val="004342E3"/>
    <w:rsid w:val="004354B6"/>
    <w:rsid w:val="0044506A"/>
    <w:rsid w:val="00451DF5"/>
    <w:rsid w:val="004521DB"/>
    <w:rsid w:val="00463309"/>
    <w:rsid w:val="004633F1"/>
    <w:rsid w:val="00463F00"/>
    <w:rsid w:val="00464C0B"/>
    <w:rsid w:val="004666BA"/>
    <w:rsid w:val="0047178C"/>
    <w:rsid w:val="00476B47"/>
    <w:rsid w:val="0049589E"/>
    <w:rsid w:val="004B5519"/>
    <w:rsid w:val="004C2422"/>
    <w:rsid w:val="004C2DA0"/>
    <w:rsid w:val="004E07C4"/>
    <w:rsid w:val="004E645B"/>
    <w:rsid w:val="004F1BB5"/>
    <w:rsid w:val="00502791"/>
    <w:rsid w:val="00504FAB"/>
    <w:rsid w:val="00515779"/>
    <w:rsid w:val="00532636"/>
    <w:rsid w:val="00541B6B"/>
    <w:rsid w:val="00542A19"/>
    <w:rsid w:val="005533C3"/>
    <w:rsid w:val="0055359E"/>
    <w:rsid w:val="005657D1"/>
    <w:rsid w:val="0056616C"/>
    <w:rsid w:val="005702C8"/>
    <w:rsid w:val="00581EEC"/>
    <w:rsid w:val="0059123B"/>
    <w:rsid w:val="005924A2"/>
    <w:rsid w:val="005946F0"/>
    <w:rsid w:val="00594AD5"/>
    <w:rsid w:val="005A75CF"/>
    <w:rsid w:val="005C22CF"/>
    <w:rsid w:val="005C454A"/>
    <w:rsid w:val="005C70AD"/>
    <w:rsid w:val="005C75F9"/>
    <w:rsid w:val="005E16FD"/>
    <w:rsid w:val="005F75B1"/>
    <w:rsid w:val="0060102E"/>
    <w:rsid w:val="0060447F"/>
    <w:rsid w:val="0061544D"/>
    <w:rsid w:val="00615C0B"/>
    <w:rsid w:val="00617C8D"/>
    <w:rsid w:val="006200C3"/>
    <w:rsid w:val="006218B6"/>
    <w:rsid w:val="006235BF"/>
    <w:rsid w:val="0062746E"/>
    <w:rsid w:val="00632269"/>
    <w:rsid w:val="00632502"/>
    <w:rsid w:val="00634CBC"/>
    <w:rsid w:val="00647794"/>
    <w:rsid w:val="00651150"/>
    <w:rsid w:val="00651F77"/>
    <w:rsid w:val="0065793E"/>
    <w:rsid w:val="00660E9F"/>
    <w:rsid w:val="006747A9"/>
    <w:rsid w:val="00683440"/>
    <w:rsid w:val="00690684"/>
    <w:rsid w:val="006921CE"/>
    <w:rsid w:val="006B2B42"/>
    <w:rsid w:val="006C2535"/>
    <w:rsid w:val="006D51F0"/>
    <w:rsid w:val="006D79FF"/>
    <w:rsid w:val="006E091B"/>
    <w:rsid w:val="006F754C"/>
    <w:rsid w:val="00713345"/>
    <w:rsid w:val="00733DF5"/>
    <w:rsid w:val="007413E5"/>
    <w:rsid w:val="00741D77"/>
    <w:rsid w:val="00741E9A"/>
    <w:rsid w:val="007427C6"/>
    <w:rsid w:val="00750C7C"/>
    <w:rsid w:val="00755671"/>
    <w:rsid w:val="00761592"/>
    <w:rsid w:val="00766358"/>
    <w:rsid w:val="00786FE0"/>
    <w:rsid w:val="00791A8D"/>
    <w:rsid w:val="007A078A"/>
    <w:rsid w:val="007A08DD"/>
    <w:rsid w:val="007A0E4E"/>
    <w:rsid w:val="007A3256"/>
    <w:rsid w:val="007A533E"/>
    <w:rsid w:val="007B4D83"/>
    <w:rsid w:val="007C2D57"/>
    <w:rsid w:val="007C5D91"/>
    <w:rsid w:val="007C763C"/>
    <w:rsid w:val="007D6047"/>
    <w:rsid w:val="007E2EFC"/>
    <w:rsid w:val="007E353F"/>
    <w:rsid w:val="0080516F"/>
    <w:rsid w:val="008132BE"/>
    <w:rsid w:val="008144B7"/>
    <w:rsid w:val="00825D24"/>
    <w:rsid w:val="00842728"/>
    <w:rsid w:val="00850A3A"/>
    <w:rsid w:val="008669C3"/>
    <w:rsid w:val="00867949"/>
    <w:rsid w:val="00875785"/>
    <w:rsid w:val="00875851"/>
    <w:rsid w:val="00887970"/>
    <w:rsid w:val="00895900"/>
    <w:rsid w:val="008A7870"/>
    <w:rsid w:val="008B4A9B"/>
    <w:rsid w:val="008B74FF"/>
    <w:rsid w:val="008C25DD"/>
    <w:rsid w:val="008C56B8"/>
    <w:rsid w:val="008C78D6"/>
    <w:rsid w:val="008D5840"/>
    <w:rsid w:val="008F428E"/>
    <w:rsid w:val="008F4E6D"/>
    <w:rsid w:val="009025B2"/>
    <w:rsid w:val="0090511B"/>
    <w:rsid w:val="00905774"/>
    <w:rsid w:val="00910977"/>
    <w:rsid w:val="00913B44"/>
    <w:rsid w:val="0091456B"/>
    <w:rsid w:val="00920865"/>
    <w:rsid w:val="00922375"/>
    <w:rsid w:val="00931B8E"/>
    <w:rsid w:val="00942A69"/>
    <w:rsid w:val="009470DB"/>
    <w:rsid w:val="0095216B"/>
    <w:rsid w:val="00952308"/>
    <w:rsid w:val="009524C1"/>
    <w:rsid w:val="009563FF"/>
    <w:rsid w:val="00956644"/>
    <w:rsid w:val="00960BCE"/>
    <w:rsid w:val="00972AEE"/>
    <w:rsid w:val="009740BA"/>
    <w:rsid w:val="0097731D"/>
    <w:rsid w:val="00986F3A"/>
    <w:rsid w:val="009913FD"/>
    <w:rsid w:val="009A4842"/>
    <w:rsid w:val="009B5866"/>
    <w:rsid w:val="009C6F10"/>
    <w:rsid w:val="009D4AD6"/>
    <w:rsid w:val="009E4B5B"/>
    <w:rsid w:val="009E681A"/>
    <w:rsid w:val="009F3142"/>
    <w:rsid w:val="009F33C8"/>
    <w:rsid w:val="00A07DA7"/>
    <w:rsid w:val="00A100D5"/>
    <w:rsid w:val="00A2023F"/>
    <w:rsid w:val="00A20575"/>
    <w:rsid w:val="00A20D70"/>
    <w:rsid w:val="00A22316"/>
    <w:rsid w:val="00A34572"/>
    <w:rsid w:val="00A41E90"/>
    <w:rsid w:val="00A43E94"/>
    <w:rsid w:val="00A44C76"/>
    <w:rsid w:val="00A5294F"/>
    <w:rsid w:val="00A5433A"/>
    <w:rsid w:val="00A568A6"/>
    <w:rsid w:val="00A60ADF"/>
    <w:rsid w:val="00A62EF0"/>
    <w:rsid w:val="00A64565"/>
    <w:rsid w:val="00A706A5"/>
    <w:rsid w:val="00A734CC"/>
    <w:rsid w:val="00AA0319"/>
    <w:rsid w:val="00AA6EB9"/>
    <w:rsid w:val="00AA7CD2"/>
    <w:rsid w:val="00AB6C01"/>
    <w:rsid w:val="00AD2306"/>
    <w:rsid w:val="00AD7E20"/>
    <w:rsid w:val="00AF1F5F"/>
    <w:rsid w:val="00AF2B85"/>
    <w:rsid w:val="00AF3A70"/>
    <w:rsid w:val="00AF7B6A"/>
    <w:rsid w:val="00B04B45"/>
    <w:rsid w:val="00B21EC2"/>
    <w:rsid w:val="00B23ADE"/>
    <w:rsid w:val="00B26990"/>
    <w:rsid w:val="00B32866"/>
    <w:rsid w:val="00B41949"/>
    <w:rsid w:val="00B43EEA"/>
    <w:rsid w:val="00B537BB"/>
    <w:rsid w:val="00B70776"/>
    <w:rsid w:val="00B71031"/>
    <w:rsid w:val="00B81A48"/>
    <w:rsid w:val="00B90C8C"/>
    <w:rsid w:val="00B93C14"/>
    <w:rsid w:val="00B9553F"/>
    <w:rsid w:val="00BA279F"/>
    <w:rsid w:val="00BA2A8D"/>
    <w:rsid w:val="00BB24A7"/>
    <w:rsid w:val="00BB5F1E"/>
    <w:rsid w:val="00BB69F3"/>
    <w:rsid w:val="00BC6792"/>
    <w:rsid w:val="00BD7348"/>
    <w:rsid w:val="00BE608F"/>
    <w:rsid w:val="00BF1197"/>
    <w:rsid w:val="00C12DF6"/>
    <w:rsid w:val="00C13942"/>
    <w:rsid w:val="00C15722"/>
    <w:rsid w:val="00C17DFE"/>
    <w:rsid w:val="00C241CE"/>
    <w:rsid w:val="00C356A9"/>
    <w:rsid w:val="00C35ABE"/>
    <w:rsid w:val="00C503AD"/>
    <w:rsid w:val="00C64D7A"/>
    <w:rsid w:val="00C65245"/>
    <w:rsid w:val="00C65D38"/>
    <w:rsid w:val="00C66BFF"/>
    <w:rsid w:val="00C67327"/>
    <w:rsid w:val="00C67929"/>
    <w:rsid w:val="00C7367A"/>
    <w:rsid w:val="00C745FA"/>
    <w:rsid w:val="00C7464C"/>
    <w:rsid w:val="00C8162A"/>
    <w:rsid w:val="00C868F2"/>
    <w:rsid w:val="00C90BE7"/>
    <w:rsid w:val="00C931D8"/>
    <w:rsid w:val="00C96557"/>
    <w:rsid w:val="00CA62FC"/>
    <w:rsid w:val="00CB2E18"/>
    <w:rsid w:val="00CC20D0"/>
    <w:rsid w:val="00CC2A77"/>
    <w:rsid w:val="00CC3153"/>
    <w:rsid w:val="00CC75DE"/>
    <w:rsid w:val="00CD3B18"/>
    <w:rsid w:val="00CD5603"/>
    <w:rsid w:val="00CE32B3"/>
    <w:rsid w:val="00CE5B14"/>
    <w:rsid w:val="00CE7790"/>
    <w:rsid w:val="00CF0647"/>
    <w:rsid w:val="00CF35EF"/>
    <w:rsid w:val="00D040CD"/>
    <w:rsid w:val="00D126BF"/>
    <w:rsid w:val="00D14746"/>
    <w:rsid w:val="00D14F92"/>
    <w:rsid w:val="00D216F4"/>
    <w:rsid w:val="00D25FEB"/>
    <w:rsid w:val="00D4622E"/>
    <w:rsid w:val="00D538F0"/>
    <w:rsid w:val="00D5501F"/>
    <w:rsid w:val="00D67559"/>
    <w:rsid w:val="00D67E2B"/>
    <w:rsid w:val="00D80919"/>
    <w:rsid w:val="00D81D99"/>
    <w:rsid w:val="00D9106C"/>
    <w:rsid w:val="00D964E9"/>
    <w:rsid w:val="00DA4EA9"/>
    <w:rsid w:val="00DA6558"/>
    <w:rsid w:val="00DB3C1C"/>
    <w:rsid w:val="00DB5CB4"/>
    <w:rsid w:val="00DC4247"/>
    <w:rsid w:val="00DC56FD"/>
    <w:rsid w:val="00DD0ED2"/>
    <w:rsid w:val="00DD6FDF"/>
    <w:rsid w:val="00DE1BC4"/>
    <w:rsid w:val="00DF1B2B"/>
    <w:rsid w:val="00DF3C08"/>
    <w:rsid w:val="00DF53EB"/>
    <w:rsid w:val="00E05208"/>
    <w:rsid w:val="00E20FF3"/>
    <w:rsid w:val="00E26092"/>
    <w:rsid w:val="00E36EAB"/>
    <w:rsid w:val="00E376CE"/>
    <w:rsid w:val="00E61857"/>
    <w:rsid w:val="00E620D5"/>
    <w:rsid w:val="00E645A6"/>
    <w:rsid w:val="00E70900"/>
    <w:rsid w:val="00E83357"/>
    <w:rsid w:val="00E851A8"/>
    <w:rsid w:val="00E933E7"/>
    <w:rsid w:val="00EA6C77"/>
    <w:rsid w:val="00EC1FC6"/>
    <w:rsid w:val="00ED53FC"/>
    <w:rsid w:val="00EE4573"/>
    <w:rsid w:val="00EE45C2"/>
    <w:rsid w:val="00EE733E"/>
    <w:rsid w:val="00EF18C8"/>
    <w:rsid w:val="00EF42C7"/>
    <w:rsid w:val="00EF705C"/>
    <w:rsid w:val="00F111E3"/>
    <w:rsid w:val="00F12337"/>
    <w:rsid w:val="00F1454F"/>
    <w:rsid w:val="00F2608F"/>
    <w:rsid w:val="00F30170"/>
    <w:rsid w:val="00F30425"/>
    <w:rsid w:val="00F33CF1"/>
    <w:rsid w:val="00F47BC8"/>
    <w:rsid w:val="00F5765D"/>
    <w:rsid w:val="00F7416C"/>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3210"/>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D394C3"/>
  <w15:chartTrackingRefBased/>
  <w15:docId w15:val="{6CDF1040-4BCB-4FF5-8B00-3A5E48A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D126BF"/>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uiPriority w:val="39"/>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uiPriority w:val="22"/>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D126BF"/>
    <w:pPr>
      <w:spacing w:before="600" w:afterLines="200" w:after="0"/>
      <w:contextualSpacing/>
    </w:pPr>
    <w:rPr>
      <w:rFonts w:asciiTheme="majorHAnsi" w:hAnsiTheme="majorHAnsi"/>
      <w:b/>
    </w:rPr>
  </w:style>
  <w:style w:type="paragraph" w:customStyle="1" w:styleId="Default">
    <w:name w:val="Default"/>
    <w:rsid w:val="00D126BF"/>
    <w:pPr>
      <w:autoSpaceDE w:val="0"/>
      <w:autoSpaceDN w:val="0"/>
      <w:adjustRightInd w:val="0"/>
      <w:spacing w:after="0"/>
      <w:jc w:val="left"/>
    </w:pPr>
    <w:rPr>
      <w:rFonts w:ascii="Calibri" w:eastAsiaTheme="minorHAnsi" w:hAnsi="Calibri" w:cs="Calibri"/>
      <w:color w:val="000000"/>
      <w:sz w:val="24"/>
      <w:szCs w:val="24"/>
      <w:lang w:eastAsia="en-US"/>
    </w:rPr>
  </w:style>
  <w:style w:type="paragraph" w:styleId="Funotentext">
    <w:name w:val="footnote text"/>
    <w:basedOn w:val="Standard"/>
    <w:link w:val="FunotentextZchn"/>
    <w:semiHidden/>
    <w:unhideWhenUsed/>
    <w:rsid w:val="00C96557"/>
    <w:pPr>
      <w:spacing w:after="0"/>
    </w:pPr>
    <w:rPr>
      <w:sz w:val="20"/>
    </w:rPr>
  </w:style>
  <w:style w:type="character" w:customStyle="1" w:styleId="FunotentextZchn">
    <w:name w:val="Fußnotentext Zchn"/>
    <w:basedOn w:val="Absatz-Standardschriftart"/>
    <w:link w:val="Funotentext"/>
    <w:semiHidden/>
    <w:rsid w:val="00C96557"/>
    <w:rPr>
      <w:rFonts w:asciiTheme="minorHAnsi" w:hAnsiTheme="minorHAnsi"/>
      <w:color w:val="333333" w:themeColor="text1"/>
    </w:rPr>
  </w:style>
  <w:style w:type="character" w:styleId="Funotenzeichen">
    <w:name w:val="footnote reference"/>
    <w:basedOn w:val="Absatz-Standardschriftart"/>
    <w:semiHidden/>
    <w:unhideWhenUsed/>
    <w:rsid w:val="00C96557"/>
    <w:rPr>
      <w:vertAlign w:val="superscript"/>
    </w:rPr>
  </w:style>
  <w:style w:type="character" w:styleId="BesuchterLink">
    <w:name w:val="FollowedHyperlink"/>
    <w:basedOn w:val="Absatz-Standardschriftart"/>
    <w:semiHidden/>
    <w:unhideWhenUsed/>
    <w:rsid w:val="006C2535"/>
    <w:rPr>
      <w:color w:val="004992" w:themeColor="followedHyperlink"/>
      <w:u w:val="single"/>
    </w:rPr>
  </w:style>
  <w:style w:type="character" w:styleId="Kommentarzeichen">
    <w:name w:val="annotation reference"/>
    <w:basedOn w:val="Absatz-Standardschriftart"/>
    <w:semiHidden/>
    <w:unhideWhenUsed/>
    <w:rsid w:val="00EF705C"/>
    <w:rPr>
      <w:sz w:val="16"/>
      <w:szCs w:val="16"/>
    </w:rPr>
  </w:style>
  <w:style w:type="paragraph" w:styleId="Kommentartext">
    <w:name w:val="annotation text"/>
    <w:basedOn w:val="Standard"/>
    <w:link w:val="KommentartextZchn"/>
    <w:semiHidden/>
    <w:unhideWhenUsed/>
    <w:rsid w:val="00EF705C"/>
    <w:rPr>
      <w:sz w:val="20"/>
    </w:rPr>
  </w:style>
  <w:style w:type="character" w:customStyle="1" w:styleId="KommentartextZchn">
    <w:name w:val="Kommentartext Zchn"/>
    <w:basedOn w:val="Absatz-Standardschriftart"/>
    <w:link w:val="Kommentartext"/>
    <w:semiHidden/>
    <w:rsid w:val="00EF705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F705C"/>
    <w:rPr>
      <w:b/>
      <w:bCs/>
    </w:rPr>
  </w:style>
  <w:style w:type="character" w:customStyle="1" w:styleId="KommentarthemaZchn">
    <w:name w:val="Kommentarthema Zchn"/>
    <w:basedOn w:val="KommentartextZchn"/>
    <w:link w:val="Kommentarthema"/>
    <w:semiHidden/>
    <w:rsid w:val="00EF705C"/>
    <w:rPr>
      <w:rFonts w:asciiTheme="minorHAnsi" w:hAnsiTheme="minorHAnsi"/>
      <w:b/>
      <w:bCs/>
      <w:color w:val="333333" w:themeColor="text1"/>
    </w:rPr>
  </w:style>
  <w:style w:type="paragraph" w:styleId="StandardWeb">
    <w:name w:val="Normal (Web)"/>
    <w:basedOn w:val="Standard"/>
    <w:uiPriority w:val="99"/>
    <w:semiHidden/>
    <w:unhideWhenUsed/>
    <w:rsid w:val="00EF42C7"/>
    <w:pPr>
      <w:spacing w:after="0"/>
    </w:pPr>
    <w:rPr>
      <w:rFonts w:ascii="Times New Roman" w:eastAsiaTheme="minorHAnsi" w:hAnsi="Times New Roman"/>
      <w:color w:val="auto"/>
      <w:sz w:val="24"/>
      <w:szCs w:val="24"/>
    </w:rPr>
  </w:style>
  <w:style w:type="character" w:customStyle="1" w:styleId="UnresolvedMention">
    <w:name w:val="Unresolved Mention"/>
    <w:basedOn w:val="Absatz-Standardschriftart"/>
    <w:uiPriority w:val="99"/>
    <w:semiHidden/>
    <w:unhideWhenUsed/>
    <w:rsid w:val="0059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9228">
      <w:bodyDiv w:val="1"/>
      <w:marLeft w:val="0"/>
      <w:marRight w:val="0"/>
      <w:marTop w:val="0"/>
      <w:marBottom w:val="0"/>
      <w:divBdr>
        <w:top w:val="none" w:sz="0" w:space="0" w:color="auto"/>
        <w:left w:val="none" w:sz="0" w:space="0" w:color="auto"/>
        <w:bottom w:val="none" w:sz="0" w:space="0" w:color="auto"/>
        <w:right w:val="none" w:sz="0" w:space="0" w:color="auto"/>
      </w:divBdr>
    </w:div>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124426753">
      <w:bodyDiv w:val="1"/>
      <w:marLeft w:val="0"/>
      <w:marRight w:val="0"/>
      <w:marTop w:val="0"/>
      <w:marBottom w:val="0"/>
      <w:divBdr>
        <w:top w:val="none" w:sz="0" w:space="0" w:color="auto"/>
        <w:left w:val="none" w:sz="0" w:space="0" w:color="auto"/>
        <w:bottom w:val="none" w:sz="0" w:space="0" w:color="auto"/>
        <w:right w:val="none" w:sz="0" w:space="0" w:color="auto"/>
      </w:divBdr>
    </w:div>
    <w:div w:id="1159227934">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ke.de/informationen-aus-den-bereichen/medizinische-fakultaet/gleichstellungsrefera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eichstellung@uke.de" TargetMode="External"/><Relationship Id="rId4" Type="http://schemas.openxmlformats.org/officeDocument/2006/relationships/settings" Target="settings.xml"/><Relationship Id="rId9" Type="http://schemas.openxmlformats.org/officeDocument/2006/relationships/hyperlink" Target="mailto:gleichstellung@u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6B84-6C98-4447-9092-98D07071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Maetschke, Elke</dc:creator>
  <cp:keywords/>
  <dc:description/>
  <cp:lastModifiedBy>Path, Heike</cp:lastModifiedBy>
  <cp:revision>4</cp:revision>
  <cp:lastPrinted>2016-08-15T13:52:00Z</cp:lastPrinted>
  <dcterms:created xsi:type="dcterms:W3CDTF">2025-05-28T08:28:00Z</dcterms:created>
  <dcterms:modified xsi:type="dcterms:W3CDTF">2025-05-28T08:34:00Z</dcterms:modified>
</cp:coreProperties>
</file>